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Path A Evidence Strengthening Record</w:t>
      </w:r>
    </w:p>
    <w:p>
      <w:r>
        <w:t>This internal record closes the limited corrections requested after the four-item editorial pass of 28 October 2026. It is not a supplementary scientific file for journal upload. Editing is stopped pending feedback from the editor or an independent user.</w:t>
      </w:r>
    </w:p>
    <w:p>
      <w:pPr/>
      <w:r>
        <w:t>Completed: ethics approval and consent declarations were added after Funding; the abstract explains the consequence of earlier development use; editorial-process wording was removed from public availability statements; the three-sentence Table 3 note was moved below the table. Minor changes clarify the Section 4.2 heading, the repository-root installation context and the wording of metadata and byte checks. The earlier commit, manifest, Online Resource ordering and candidate Software Article structure are retained. No training, inference, dataset expansion, library or model-result changes were made.</w:t>
      </w:r>
    </w:p>
    <w:p>
      <w:pPr>
        <w:pStyle w:val="Caption"/>
        <w:keepNext/>
      </w:pPr>
      <w:r>
        <w:t>Review actions and outcomes</w:t>
      </w:r>
    </w:p>
    <w:tbl>
      <w:tblPr>
        <w:tblW w:type="auto" w:w="0"/>
        <w:tblLayout w:type="fixed"/>
        <w:tblLook w:firstColumn="1" w:firstRow="1" w:lastColumn="0" w:lastRow="0" w:noHBand="0" w:noVBand="1" w:val="04A0"/>
      </w:tblPr>
      <w:tblGrid>
        <w:gridCol w:w="2304"/>
        <w:gridCol w:w="3744"/>
        <w:gridCol w:w="3240"/>
      </w:tblGrid>
      <w:tr>
        <w:trPr>
          <w:tblHeader/>
          <w:cantSplit/>
        </w:trPr>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Action</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Outcome</w:t>
            </w:r>
          </w:p>
        </w:tc>
        <w:tc>
          <w:tcPr>
            <w:tcW w:type="dxa" w:w="3240"/>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Boundary</w:t>
            </w:r>
          </w:p>
        </w:tc>
      </w:tr>
      <w:tr>
        <w:trPr>
          <w:cantSplit/>
        </w:trPr>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Historical source audit</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FAIL; 151/335 and 168/335 test records</w:t>
            </w:r>
          </w:p>
        </w:tc>
        <w:tc>
          <w:tcPr>
            <w:tcW w:type="dxa" w:w="32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Recovered historical identities</w:t>
            </w:r>
          </w:p>
        </w:tc>
      </w:tr>
      <w:tr>
        <w:trPr>
          <w:cantSplit/>
        </w:trPr>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Historical-role audit</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196/221 sources; 304/330 records had development roles</w:t>
            </w:r>
          </w:p>
        </w:tc>
        <w:tc>
          <w:tcPr>
            <w:tcW w:type="dxa" w:w="32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Prior-test-only is not development-naive</w:t>
            </w:r>
          </w:p>
        </w:tc>
      </w:tr>
      <w:tr>
        <w:trPr>
          <w:cantSplit/>
        </w:trPr>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Actual OOF and byte manifests</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30 OOF checks; 106 models and 93 code files pass</w:t>
            </w:r>
          </w:p>
        </w:tc>
        <w:tc>
          <w:tcPr>
            <w:tcW w:type="dxa" w:w="32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Membership and byte consistency</w:t>
            </w:r>
          </w:p>
        </w:tc>
      </w:tr>
      <w:tr>
        <w:trPr>
          <w:cantSplit/>
        </w:trPr>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Augmentation linkage</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9,264 reconstructed child links are consistent with frozen memberships</w:t>
            </w:r>
          </w:p>
        </w:tc>
        <w:tc>
          <w:tcPr>
            <w:tcW w:type="dxa" w:w="32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Reconstructed audit keys, not training-time log</w:t>
            </w:r>
          </w:p>
        </w:tc>
      </w:tr>
      <w:tr>
        <w:trPr>
          <w:cantSplit/>
        </w:trPr>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ETHZ station grouping</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180 train–test shared keys</w:t>
            </w:r>
          </w:p>
        </w:tc>
        <w:tc>
          <w:tcPr>
            <w:tcW w:type="dxa" w:w="32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No unseen-station claim</w:t>
            </w:r>
          </w:p>
        </w:tc>
      </w:tr>
      <w:tr>
        <w:trPr>
          <w:cantSplit/>
        </w:trPr>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Practical presentation</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Fig. 1, actual CLI excerpt, 27 tests, strict mode</w:t>
            </w:r>
          </w:p>
        </w:tc>
        <w:tc>
          <w:tcPr>
            <w:tcW w:type="dxa" w:w="32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No new picker benchmark</w:t>
            </w:r>
          </w:p>
        </w:tc>
      </w:tr>
    </w:tbl>
    <w:p>
      <w:pPr>
        <w:pStyle w:val="Heading1"/>
      </w:pPr>
      <w:r>
        <w:t>Publication and editorial route</w:t>
      </w:r>
    </w:p>
    <w:p>
      <w:r>
        <w:t>The dedicated repository rcw3712/seismic-eval-audit distributes v0.1.3. Its source and evidence are now archived at https://doi.org/10.5281/zenodo.23684054. Tag archive-v0.1.3 points to the same commit as the original v0.1.3 release; both tags and earlier archives are preserved. The Zenodo ZIP checksum and 76 manifest file hashes match the release. The current manuscript and citation edits were made after archival and are distinguished from those immutable bytes. The previous editorial decision was rejection, not an invitation to revise. No inquiry or journal submission has been sent by this workflow.</w:t>
      </w:r>
    </w:p>
    <w:p>
      <w:pPr>
        <w:pStyle w:val="Heading1"/>
      </w:pPr>
      <w:r>
        <w:t>Author checks before submission</w:t>
      </w:r>
    </w:p>
    <w:p>
      <w:r>
        <w:t>The usage evidence remains author-run, not independent adoption. The candidate Software Article format does not imply editorial permission or acceptance. Inquiry remains prepared; no authenticated email channel or confirmed sending/response is available to this workflow. The Git repository and delivery manifest identify this editorial version separately from the archived software. Further editing should begin only when editor or independent-user feedback is available, as instructed by the author.</w:t>
      </w:r>
    </w:p>
    <w:sectPr w:rsidR="00FC693F" w:rsidRPr="0006063C" w:rsidSect="00034616">
      <w:footerReference w:type="default" r:id="rId9"/>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Times New Roman" w:hAnsi="Times New Roman"/>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