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 A Evidence Strengthening Record</w:t>
      </w:r>
    </w:p>
    <w:p>
      <w:r>
        <w:t>This third Path A draft makes targeted presentation and archival improvements without new training or inference. Numerical audit results, historical-exposure limitations and earlier releases are preserved.</w:t>
      </w:r>
    </w:p>
    <w:p>
      <w:pPr/>
      <w:r>
        <w:t>The Introduction now positions the tool against grouped split construction; Table 2 qualifies reconstructed lineage; Fig. 1 depicts a separate test earthquake; Online Resource 1 clarifies the absence-of-exposure limitation. Data attribution and the existing Linux/Windows CI matrix are documented explicitly.</w:t>
      </w:r>
    </w:p>
    <w:p>
      <w:pPr>
        <w:pStyle w:val="Caption"/>
        <w:keepNext/>
      </w:pPr>
      <w:r>
        <w:t>Review actions and outcomes</w:t>
      </w:r>
    </w:p>
    <w:tbl>
      <w:tblPr>
        <w:tblW w:type="auto" w:w="0"/>
        <w:tblLayout w:type="fixed"/>
        <w:tblLook w:firstColumn="1" w:firstRow="1" w:lastColumn="0" w:lastRow="0" w:noHBand="0" w:noVBand="1" w:val="04A0"/>
      </w:tblPr>
      <w:tblGrid>
        <w:gridCol w:w="2304"/>
        <w:gridCol w:w="3744"/>
        <w:gridCol w:w="3240"/>
      </w:tblGrid>
      <w:tr>
        <w:trPr>
          <w:tblHeade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Outcome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Boundary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 151/335 and 168/335 test records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Recovered historical identities</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Historical-role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304/330 records had development roles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Prior-test-only is not development-naive</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OOF and byte manifests</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OOF checks; 106 models and 93 code files pass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Membership and byte consistency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Augmentation linkage</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reconstructed child links are consistent with frozen memberships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Reconstructed audit keys, not training-time log</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ETHZ station grouping</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180 train–test shared keys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unseen-station claim</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Practical presentation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Fig. 1, actual CLI excerpt, 27 tests, strict mode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new picker benchmark</w:t>
            </w:r>
          </w:p>
        </w:tc>
      </w:tr>
    </w:tbl>
    <w:p>
      <w:pPr>
        <w:pStyle w:val="Heading1"/>
      </w:pPr>
      <w:r>
        <w:t>Publication and editorial route</w:t>
      </w:r>
    </w:p>
    <w:p>
      <w:r>
        <w:t>The dedicated repository rcw3712/seismic-eval-audit distributes v0.1.3. Its source and evidence are now archived at https://doi.org/10.5281/zenodo.23684054. Tag archive-v0.1.3 points to the same commit as the original v0.1.3 release; both tags and earlier archives are preserved. The Zenodo ZIP checksum and 76 manifest file hashes match the release. The current manuscript and citation edits were made after archival and are distinguished from those immutable bytes. The previous editorial decision was rejection, not an invitation to revise. No inquiry or journal submission has been sent by this workflow.</w:t>
      </w:r>
    </w:p>
    <w:p>
      <w:pPr>
        <w:pStyle w:val="Heading1"/>
      </w:pPr>
      <w:r>
        <w:t>Author checks before submission</w:t>
      </w:r>
    </w:p>
    <w:p>
      <w:r>
        <w:t>Limited pre-submission editing clarified Claude assistance, alphabetized Cawley before CERN, removed an unused embedded image and shortened Code availability. The CLI example remains one monospace block. Rahmat Catur Wibowo developed the Python package seismic-eval-audit. The Software contributions of Razki Alfatah Khairu Mahli and Karyanto relate to the historical MATLAB pipeline, not to the Python package. The single-author software citation for seismic-eval-audit and the multi-author manuscript contributions therefore have different scopes. No training, inference, numerical results or archived releases were changed. A pre-submission inquiry is prepared separately; its delivery status is recorded outside the public manuscript package.</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