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AI Implementation Reference Model Version 11 Implementation Guide</w:t>
      </w:r>
    </w:p>
    <w:p>
      <w:pPr>
        <w:pStyle w:val="Metadata"/>
      </w:pPr>
      <w:r>
        <w:t>A practical method for tailoring, executing, governing, and maintaining the 450 task reference model</w:t>
      </w:r>
    </w:p>
    <w:p>
      <w:pPr>
        <w:pStyle w:val="Metadata"/>
      </w:pPr>
      <w:r>
        <w:t>Prepared for Raymond Wah  |  2 October 2026  |  Companion to the v11 workbook and its change log</w:t>
      </w:r>
    </w:p>
    <w:p>
      <w:r>
        <w:t>This guide helps a sponsor, program manager, AI governance lead, security lead, architect, and delivery team turn the reference model into a project specific plan. Start with the business outcome and solution architecture, select applicable work, assign owners and evidence, rebaseline the schedule, and use the eight gates for explicit decisions. The workbook is a reference model; its 450 activities and illustrative dates are not a universal project mandate or ready made commitment. Version 11 explains how to retain a governed path to distributed agent services when business needs and risk justify that option. It preserves the Phase 0 readiness approach and separates service placement from governance and agent authority.</w:t>
      </w:r>
    </w:p>
    <w:p>
      <w:pPr>
        <w:pStyle w:val="Heading1"/>
      </w:pPr>
      <w:r>
        <w:t>1  Package and operating principles</w:t>
      </w:r>
    </w:p>
    <w:tbl>
      <w:tblPr>
        <w:tblW w:type="auto" w:w="0"/>
        <w:jc w:val="center"/>
        <w:tblLayout w:type="fixed"/>
        <w:tblLook w:firstColumn="1" w:firstRow="1" w:lastColumn="0" w:lastRow="0" w:noHBand="0" w:noVBand="1" w:val="04A0"/>
      </w:tblPr>
      <w:tblGrid>
        <w:gridCol w:w="4176"/>
        <w:gridCol w:w="5443"/>
      </w:tblGrid>
      <w:tr>
        <w:trPr>
          <w:cantSplit/>
          <w:tblHeader w:val="true"/>
        </w:trPr>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File</w:t>
            </w:r>
          </w:p>
        </w:tc>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Use</w:t>
            </w:r>
          </w:p>
        </w:tc>
      </w:tr>
      <w:tr>
        <w:trPr>
          <w:cantSplit/>
        </w:trPr>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Enterprise_AI_Implementation_Reference_Model_v11.xlsx</w:t>
            </w:r>
          </w:p>
        </w:tc>
        <w:tc>
          <w:tcPr>
            <w:tcW w:type="dxa" w:w="544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Authoritative master reference; 23 tabs, 28 work packages, T001–T450 and eight gates. Version 11 revises 64 existing tasks without adding tasks or fields.</w:t>
            </w:r>
          </w:p>
        </w:tc>
      </w:tr>
      <w:tr>
        <w:trPr>
          <w:cantSplit/>
        </w:trPr>
        <w:tc>
          <w:tcPr>
            <w:tcW w:type="dxa" w:w="417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Enterprise_AI_Implementation_Reference_Model_v11_Change_Log.md</w:t>
            </w:r>
          </w:p>
        </w:tc>
        <w:tc>
          <w:tcPr>
            <w:tcW w:type="dxa" w:w="5443"/>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Task changes, applicability, predecessor additions, schedule conflicts and unresolved decisions for v10 → v11. Retain the v9 → v10 Change Report for the earlier design history.</w:t>
            </w:r>
          </w:p>
        </w:tc>
      </w:tr>
      <w:tr>
        <w:trPr>
          <w:cantSplit/>
        </w:trPr>
        <w:tc>
          <w:tcPr>
            <w:tcW w:type="dxa" w:w="41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This implementation guide</w:t>
            </w:r>
          </w:p>
        </w:tc>
        <w:tc>
          <w:tcPr>
            <w:tcW w:type="dxa" w:w="5443"/>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Operating instructions. Apply alongside an organization’s current policies, contracts, legal advice and control evidence.</w:t>
            </w:r>
          </w:p>
        </w:tc>
      </w:tr>
    </w:tbl>
    <w:p>
      <w:pPr>
        <w:spacing w:after="20"/>
      </w:pPr>
    </w:p>
    <w:p>
      <w:r>
        <w:t>Maintain a read only master and create a controlled working copy for each implementation. Record the system identifier, sponsor, intended use, geographic scope, architecture pattern, source version, owner, baseline date, decisions and change history in the project repository. Do not alter the master simply to record a project specific exception.</w:t>
      </w:r>
    </w:p>
    <w:p>
      <w:r>
        <w:t>The main schedule is a coordination structure. Existing enterprise controls and evidence can satisfy a task when the owner verifies equivalent scope and effectiveness. A task may be completed, adapted, combined with another task, deferred with approval, or ruled not applicable with a documented reason. A framework citation explains the design basis; it does not, by itself, establish a legal obligation.</w:t>
      </w:r>
    </w:p>
    <w:p>
      <w:pPr>
        <w:pStyle w:val="Heading1"/>
      </w:pPr>
      <w:r>
        <w:t>2  First pass through the workbook</w:t>
      </w:r>
    </w:p>
    <w:tbl>
      <w:tblPr>
        <w:tblW w:type="auto" w:w="0"/>
        <w:jc w:val="center"/>
        <w:tblLayout w:type="fixed"/>
        <w:tblLook w:firstColumn="1" w:firstRow="1" w:lastColumn="0" w:lastRow="0" w:noHBand="0" w:noVBand="1" w:val="04A0"/>
      </w:tblPr>
      <w:tblGrid>
        <w:gridCol w:w="1210"/>
        <w:gridCol w:w="8410"/>
      </w:tblGrid>
      <w:tr>
        <w:trPr>
          <w:cantSplit/>
          <w:tblHeader w:val="true"/>
        </w:trPr>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Read order</w:t>
            </w:r>
          </w:p>
        </w:tc>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Tab and decision</w:t>
            </w:r>
          </w:p>
        </w:tc>
      </w:tr>
      <w:tr>
        <w:trPr>
          <w:cantSplit/>
        </w:trPr>
        <w:tc>
          <w:tcPr>
            <w:tcW w:type="dxa" w:w="12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1</w:t>
            </w:r>
          </w:p>
        </w:tc>
        <w:tc>
          <w:tcPr>
            <w:tcW w:type="dxa" w:w="84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Executive Summary and Enterprise Architecture: confirm the operating model, work packages and business context.</w:t>
            </w:r>
          </w:p>
        </w:tc>
      </w:tr>
      <w:tr>
        <w:trPr>
          <w:cantSplit/>
        </w:trPr>
        <w:tc>
          <w:tcPr>
            <w:tcW w:type="dxa" w:w="12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2</w:t>
            </w:r>
          </w:p>
        </w:tc>
        <w:tc>
          <w:tcPr>
            <w:tcW w:type="dxa" w:w="84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Planning Assumptions and Source Register: identify illustrative dates, conditional work, source versions and source limitations.</w:t>
            </w:r>
          </w:p>
        </w:tc>
      </w:tr>
      <w:tr>
        <w:trPr>
          <w:cantSplit/>
        </w:trPr>
        <w:tc>
          <w:tcPr>
            <w:tcW w:type="dxa" w:w="12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3</w:t>
            </w:r>
          </w:p>
        </w:tc>
        <w:tc>
          <w:tcPr>
            <w:tcW w:type="dxa" w:w="84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Integrated Project Schedule: filter by Phase, Workstream, Gate / Milestone, Control / Governance Reference and task ID.</w:t>
            </w:r>
          </w:p>
        </w:tc>
      </w:tr>
      <w:tr>
        <w:trPr>
          <w:cantSplit/>
        </w:trPr>
        <w:tc>
          <w:tcPr>
            <w:tcW w:type="dxa" w:w="12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4</w:t>
            </w:r>
          </w:p>
        </w:tc>
        <w:tc>
          <w:tcPr>
            <w:tcW w:type="dxa" w:w="84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Milestones &amp; Gates, Roles &amp; RACI, Deliverables Register: determine decision authorities and evidence expected at each gate.</w:t>
            </w:r>
          </w:p>
        </w:tc>
      </w:tr>
      <w:tr>
        <w:trPr>
          <w:cantSplit/>
        </w:trPr>
        <w:tc>
          <w:tcPr>
            <w:tcW w:type="dxa" w:w="12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5</w:t>
            </w:r>
          </w:p>
        </w:tc>
        <w:tc>
          <w:tcPr>
            <w:tcW w:type="dxa" w:w="84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Regulatory &amp; Framework Traceability and Control Traceability: decide applicability and link controls to work and evidence.</w:t>
            </w:r>
          </w:p>
        </w:tc>
      </w:tr>
      <w:tr>
        <w:trPr>
          <w:cantSplit/>
        </w:trPr>
        <w:tc>
          <w:tcPr>
            <w:tcW w:type="dxa" w:w="12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6</w:t>
            </w:r>
          </w:p>
        </w:tc>
        <w:tc>
          <w:tcPr>
            <w:tcW w:type="dxa" w:w="84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Operational registers and Agile Delivery View: assign record owners and translate approved work into the delivery backlog.</w:t>
            </w:r>
          </w:p>
        </w:tc>
      </w:tr>
    </w:tbl>
    <w:p>
      <w:pPr>
        <w:spacing w:after="20"/>
      </w:pPr>
    </w:p>
    <w:p>
      <w:r>
        <w:t>Use the Integrated Project Schedule task ID as the persistent join key. The Deliverables Register repeats each task’s output and acceptance criteria. The Agile Delivery View repeats the task in delivery language; it does not create an extra task. Gate and register references must continue to point to the same task ID after tailoring. Use the existing Detailed Activity, Deliverable, Acceptance Criteria and Planning Notes fields for the additions below; link actual evidence in the project repository. Do not add a new applicability or approval field to the master without a schema decision. Preserve completed-work history and reassess changed requirements before relying on prior completion.</w:t>
      </w:r>
    </w:p>
    <w:p>
      <w:pPr>
        <w:pStyle w:val="Heading1"/>
      </w:pPr>
      <w:r>
        <w:t>3  Tailor before scheduling</w:t>
      </w:r>
    </w:p>
    <w:p>
      <w:pPr>
        <w:pStyle w:val="Heading2"/>
      </w:pPr>
      <w:r>
        <w:t>3.1  Establish the implementation profile</w:t>
      </w:r>
    </w:p>
    <w:p>
      <w:pPr>
        <w:pStyle w:val="ListNumber"/>
      </w:pPr>
      <w:r>
        <w:t>Document the use case, business owner, measurable outcome, intended users, affected people, data classes, locations, critical processes, and actions the AI may take.</w:t>
      </w:r>
    </w:p>
    <w:p>
      <w:pPr>
        <w:pStyle w:val="ListNumber"/>
      </w:pPr>
      <w:r>
        <w:t>Classify the solution pattern: purchased AI SaaS, RAG on a hosted model, custom predictive ML, fine tuned model, single agent, multi agent, defensive AI, or a combination. Record logical architecture, provider dependencies, deployment locations and the governance and operating model separately.</w:t>
      </w:r>
    </w:p>
    <w:p>
      <w:pPr>
        <w:pStyle w:val="ListNumber"/>
      </w:pPr>
      <w:r>
        <w:t>Assess impact, security, privacy, resilience, sector rules, contractual obligations and relevant jurisdictions with legal and control owners. Record applicability in Regulatory &amp; Framework Traceability, including rationale for an N/A determination.</w:t>
      </w:r>
    </w:p>
    <w:p>
      <w:pPr>
        <w:pStyle w:val="ListNumber"/>
      </w:pPr>
      <w:r>
        <w:t>Filter the schedule and classify every relevant task as apply, adapt, satisfied by existing control, conditional pending decision, or N/A. Keep a tailoring decision log in the working copy or project repository, keyed by task ID; the master schedule has no dedicated applicability column.</w:t>
      </w:r>
    </w:p>
    <w:p>
      <w:pPr>
        <w:pStyle w:val="ListNumber"/>
      </w:pPr>
      <w:r>
        <w:t>For each retained task, name an owner, deliverable, acceptance evidence, gate, dependency and planned date. Capture exclusions, inherited evidence and exceptions with reviewer and approval date.</w:t>
      </w:r>
    </w:p>
    <w:tbl>
      <w:tblPr>
        <w:tblW w:type="auto" w:w="0"/>
        <w:jc w:val="center"/>
        <w:tblLayout w:type="fixed"/>
        <w:tblLook w:firstColumn="1" w:firstRow="1" w:lastColumn="0" w:lastRow="0" w:noHBand="0" w:noVBand="1" w:val="04A0"/>
      </w:tblPr>
      <w:tblGrid>
        <w:gridCol w:w="1829"/>
        <w:gridCol w:w="4680"/>
        <w:gridCol w:w="3110"/>
      </w:tblGrid>
      <w:tr>
        <w:trPr>
          <w:cantSplit/>
          <w:tblHeader w:val="true"/>
        </w:trPr>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Pattern</w:t>
            </w:r>
          </w:p>
        </w:tc>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Likely focus</w:t>
            </w:r>
          </w:p>
        </w:tc>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Typical conditional decision</w:t>
            </w:r>
          </w:p>
        </w:tc>
      </w:tr>
      <w:tr>
        <w:trPr>
          <w:cantSplit/>
        </w:trPr>
        <w:tc>
          <w:tcPr>
            <w:tcW w:type="dxa" w:w="182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Purchased AI SaaS</w:t>
            </w:r>
          </w:p>
        </w:tc>
        <w:tc>
          <w:tcPr>
            <w:tcW w:type="dxa" w:w="46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Vendor assessment, AI customer duties, data rights, access, integration, monitoring, exit and operational readiness.</w:t>
            </w:r>
          </w:p>
        </w:tc>
        <w:tc>
          <w:tcPr>
            <w:tcW w:type="dxa" w:w="31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Provider owned training work in T435–T443 may be satisfied by provider assurance; document customer integration duties and evidence gaps.</w:t>
            </w:r>
          </w:p>
        </w:tc>
      </w:tr>
      <w:tr>
        <w:trPr>
          <w:cantSplit/>
        </w:trPr>
        <w:tc>
          <w:tcPr>
            <w:tcW w:type="dxa" w:w="182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RAG on hosted model</w:t>
            </w:r>
          </w:p>
        </w:tc>
        <w:tc>
          <w:tcPr>
            <w:tcW w:type="dxa" w:w="468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Source rights, provenance, ingestion, retrieval evaluation, prompt and tool controls, vector store, model/provider change and rollback.</w:t>
            </w:r>
          </w:p>
        </w:tc>
        <w:tc>
          <w:tcPr>
            <w:tcW w:type="dxa" w:w="31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Fine tuning and custom training tasks apply only if performed.</w:t>
            </w:r>
          </w:p>
        </w:tc>
      </w:tr>
      <w:tr>
        <w:trPr>
          <w:cantSplit/>
        </w:trPr>
        <w:tc>
          <w:tcPr>
            <w:tcW w:type="dxa" w:w="182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Custom ML or fine tuning</w:t>
            </w:r>
          </w:p>
        </w:tc>
        <w:tc>
          <w:tcPr>
            <w:tcW w:type="dxa" w:w="46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Dataset separation, experiments T403–T426, pipeline and artifact security T435–T443, release integrity, drift and retraining.</w:t>
            </w:r>
          </w:p>
        </w:tc>
        <w:tc>
          <w:tcPr>
            <w:tcW w:type="dxa" w:w="31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Document upstream provider versus internal model owner responsibility.</w:t>
            </w:r>
          </w:p>
        </w:tc>
      </w:tr>
      <w:tr>
        <w:trPr>
          <w:cantSplit/>
        </w:trPr>
        <w:tc>
          <w:tcPr>
            <w:tcW w:type="dxa" w:w="182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Agentic workflow</w:t>
            </w:r>
          </w:p>
        </w:tc>
        <w:tc>
          <w:tcPr>
            <w:tcW w:type="dxa" w:w="468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Capability and autonomy limits, identities, deterministic action authorization, telemetry, handoffs, testing and independent containment.</w:t>
            </w:r>
          </w:p>
        </w:tc>
        <w:tc>
          <w:tcPr>
            <w:tcW w:type="dxa" w:w="311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Multi agent tasks apply when agents coordinate or delegate.</w:t>
            </w:r>
          </w:p>
        </w:tc>
      </w:tr>
      <w:tr>
        <w:trPr>
          <w:cantSplit/>
        </w:trPr>
        <w:tc>
          <w:tcPr>
            <w:tcW w:type="dxa" w:w="182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AI used in SOC or cyber defense</w:t>
            </w:r>
          </w:p>
        </w:tc>
        <w:tc>
          <w:tcPr>
            <w:tcW w:type="dxa" w:w="46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Defensive use case, human oversight, detection quality, protected telemetry, adversarial testing, fallback and reauthorization.</w:t>
            </w:r>
          </w:p>
        </w:tc>
        <w:tc>
          <w:tcPr>
            <w:tcW w:type="dxa" w:w="311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Activate T444–T450; otherwise record Phase 27 N/A.</w:t>
            </w:r>
          </w:p>
        </w:tc>
      </w:tr>
    </w:tbl>
    <w:p>
      <w:pPr>
        <w:spacing w:after="20"/>
      </w:pPr>
    </w:p>
    <w:p>
      <w:r>
        <w:t>A mixed architecture receives a combined profile. The security, data, operations and gate activities are selected from the actual system boundaries and effects, rather than from the solution label alone.</w:t>
      </w:r>
    </w:p>
    <w:p>
      <w:pPr>
        <w:pStyle w:val="Heading2"/>
      </w:pPr>
      <w:r>
        <w:t>3.2  Clarify architecture and deployment choices</w:t>
      </w:r>
    </w:p>
    <w:p>
      <w:pPr/>
      <w:r>
        <w:t>Logical architecture describes how business workflows, orchestration, agents, model services, tools, enterprise applications and data/state services interact. Deployment architecture records where those components run, their approved connections and trust boundaries. The governance and operating model identifies who owns outcomes, sets policy, grants authority, accepts risk and operates the capability. Centralized, federated or decentralized governance can support different deployment arrangements; distributing a service does not decide governance or expand its authority.</w:t>
      </w:r>
    </w:p>
    <w:p>
      <w:pPr/>
      <w:r>
        <w:t>Multiple agents may run in one centrally managed environment. A single agent may invoke remote services. Distributed agent services spread workflow capabilities across service boundaries; distributed model training or inference spreads model computation across processing resources. These are different design decisions and may coexist. Model infrastructure detail remains with the AI/ML and Cloud / Platform leads; service authority and business accountability remain explicit [S3].</w:t>
      </w:r>
    </w:p>
    <w:p>
      <w:pPr/>
      <w:r>
        <w:t>Decision and roles: the Solution Architect works with the Program Manager, AI Governance Lead and Product / Business Owner to record these choices independently. Output: implementation profile and separate logical/deployment views. Review: does each capability have an owner and bounded authority regardless of location? Applicability: classify every implementation; apply remote-service controls only to relevant boundaries and multi-agent controls only where coordination/delegation occurs.</w:t>
      </w:r>
    </w:p>
    <w:p>
      <w:pPr>
        <w:pStyle w:val="Heading2"/>
      </w:pPr>
      <w:r>
        <w:t>3.3  Decide applicability of the v10 security work</w:t>
      </w:r>
    </w:p>
    <w:tbl>
      <w:tblPr>
        <w:tblW w:type="auto" w:w="0"/>
        <w:jc w:val="center"/>
        <w:tblLayout w:type="fixed"/>
        <w:tblLook w:firstColumn="1" w:firstRow="1" w:lastColumn="0" w:lastRow="0" w:noHBand="0" w:noVBand="1" w:val="04A0"/>
      </w:tblPr>
      <w:tblGrid>
        <w:gridCol w:w="1440"/>
        <w:gridCol w:w="5227"/>
        <w:gridCol w:w="2952"/>
      </w:tblGrid>
      <w:tr>
        <w:trPr>
          <w:cantSplit/>
          <w:tblHeader w:val="true"/>
        </w:trPr>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Task range</w:t>
            </w:r>
          </w:p>
        </w:tc>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Practical selection rule</w:t>
            </w:r>
          </w:p>
        </w:tc>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Primary working record</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T427–T428</w:t>
            </w:r>
          </w:p>
        </w:tc>
        <w:tc>
          <w:tcPr>
            <w:tcW w:type="dxa" w:w="522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Assess whether NIST Cyber AI and CSA AICM/CCM are adopted as internal, contractual or assurance references; tailor their controls to the system.</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Regulatory &amp; Framework Traceability; Control Traceability</w:t>
            </w:r>
          </w:p>
        </w:tc>
      </w:tr>
      <w:tr>
        <w:trPr>
          <w:cantSplit/>
        </w:trPr>
        <w:tc>
          <w:tcPr>
            <w:tcW w:type="dxa" w:w="144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T429–T432</w:t>
            </w:r>
          </w:p>
        </w:tc>
        <w:tc>
          <w:tcPr>
            <w:tcW w:type="dxa" w:w="5227"/>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Use for a material AI supply chain: identify stack actors, assess providers, maintain dependencies and measure important controls. Scale depth to risk.</w:t>
            </w:r>
          </w:p>
        </w:tc>
        <w:tc>
          <w:tcPr>
            <w:tcW w:type="dxa" w:w="295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AI Supply Chain SSRM; AI System BOM; Control Effectiveness Metrics</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T433</w:t>
            </w:r>
          </w:p>
        </w:tc>
        <w:tc>
          <w:tcPr>
            <w:tcW w:type="dxa" w:w="522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Address credible AI enabled adversary scenarios within the system and enterprise threat model.</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Cybersecurity Readiness Register; threat model</w:t>
            </w:r>
          </w:p>
        </w:tc>
      </w:tr>
      <w:tr>
        <w:trPr>
          <w:cantSplit/>
        </w:trPr>
        <w:tc>
          <w:tcPr>
            <w:tcW w:type="dxa" w:w="144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T434</w:t>
            </w:r>
          </w:p>
        </w:tc>
        <w:tc>
          <w:tcPr>
            <w:tcW w:type="dxa" w:w="5227"/>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Have legal/product security decide EU CRA product and market scope; retain rationale even when out of scope.</w:t>
            </w:r>
          </w:p>
        </w:tc>
        <w:tc>
          <w:tcPr>
            <w:tcW w:type="dxa" w:w="295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Regulatory &amp; Framework Traceability</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T435–T443</w:t>
            </w:r>
          </w:p>
        </w:tc>
        <w:tc>
          <w:tcPr>
            <w:tcW w:type="dxa" w:w="522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Apply directly where the enterprise builds or manages models or model artifacts; use supplier evidence and customer controls for purchased components.</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Model Experiment Register; SSRM; BOM</w:t>
            </w:r>
          </w:p>
        </w:tc>
      </w:tr>
      <w:tr>
        <w:trPr>
          <w:cantSplit/>
        </w:trPr>
        <w:tc>
          <w:tcPr>
            <w:tcW w:type="dxa" w:w="144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T444–T450</w:t>
            </w:r>
          </w:p>
        </w:tc>
        <w:tc>
          <w:tcPr>
            <w:tcW w:type="dxa" w:w="5227"/>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Apply only where AI performs or assists cybersecurity defense, including SOC and response workflows.</w:t>
            </w:r>
          </w:p>
        </w:tc>
        <w:tc>
          <w:tcPr>
            <w:tcW w:type="dxa" w:w="295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Defensive AI assurance and Control Effectiveness Metrics</w:t>
            </w:r>
          </w:p>
        </w:tc>
      </w:tr>
    </w:tbl>
    <w:p>
      <w:pPr>
        <w:spacing w:after="20"/>
      </w:pPr>
    </w:p>
    <w:p>
      <w:pPr>
        <w:pStyle w:val="Heading2"/>
      </w:pPr>
      <w:r>
        <w:t>3.4  Use Phase 0 to establish readiness</w:t>
      </w:r>
    </w:p>
    <w:p>
      <w:pPr/>
      <w:r>
        <w:t>Decision and purpose: compare a centralized baseline with a candidate distributed option against a specific business need, such as local data access, separate scaling or support ownership. Record expected benefit, added cost/latency, hosting restrictions, data-location requirements, trust boundaries, shared dependencies and future-expansion assumptions. Distribution is optional; document why the centralized option remains suitable when no benefit justifies the added complexity.</w:t>
      </w:r>
    </w:p>
    <w:p>
      <w:pPr/>
      <w:r>
        <w:t>Responsible roles: Program Manager and Product / Business Owner coordinate discovery; Solution Architect, Cloud / Platform Lead, AI Governance Lead, Security Lead / Architect, IAM Lead and Risk / Compliance / Legal identify constraints. Identify proposed agent actions, permitted delegation, human approvals and who can stop execution or revoke access. The Data Architect and data owners identify record/state/memory accountability gaps; providers contribute only within confirmed responsibilities.</w:t>
      </w:r>
    </w:p>
    <w:p>
      <w:pPr/>
      <w:r>
        <w:t>Expected output and review: a deployment-option decision, constraints/boundary inventory, proposed ownership/authority map and assumptions/gap log. Can leaders explain the benefit, important dependencies, accountable owners and unresolved decisions before committing to engineering? Phase 0 identifies readiness requirements; it does not require final interfaces, infrastructure, credentials or recovery engineering. Applicability: discovery applies to every initiative; a distributed option is assessed only where there is a plausible need. Workbook links: T002,T006,T012,T019,T021–T023,T026.</w:t>
      </w:r>
    </w:p>
    <w:p>
      <w:pPr>
        <w:pStyle w:val="Heading1"/>
      </w:pPr>
      <w:r>
        <w:t>4  Set up ownership and shared responsibility</w:t>
      </w:r>
    </w:p>
    <w:p>
      <w:r>
        <w:t>The Roles &amp; RACI sheet assigns program level accountability. The Partner Responsibility Matrix describes delivery and partner handoffs. AI Supply Chain SSRM adds component and control level responsibility for Cloud Service Provider (CSP), Model Provider (MP), Orchestrated Service Provider (OSP), Application Provider (AP) and AI Customer (AIC). A company can occupy more than one role. Record the actual organization in each role instead of assuming that a brand name implies full control ownership.</w:t>
      </w:r>
    </w:p>
    <w:p>
      <w:pPr>
        <w:pStyle w:val="ListBullet"/>
      </w:pPr>
      <w:r>
        <w:t>List each material AI component and service in the BOM. Identify the provider, model/version, environment, trust source, connectivity and privileges.</w:t>
      </w:r>
    </w:p>
    <w:p>
      <w:pPr>
        <w:pStyle w:val="ListBullet"/>
      </w:pPr>
      <w:r>
        <w:t>For each material control, enter a row in AI Supply Chain SSRM with the component, CSA actor role, control owner, shared party, customer and provider obligations, contractual and technical evidence, incident duty, change notice and exit responsibility.</w:t>
      </w:r>
    </w:p>
    <w:p>
      <w:pPr>
        <w:pStyle w:val="ListBullet"/>
      </w:pPr>
      <w:r>
        <w:t>Check the contract, provider assurance response and technical configuration against the proposed split. Escalate gaps where neither side actually operates the control or supplies evidence.</w:t>
      </w:r>
    </w:p>
    <w:p>
      <w:pPr>
        <w:pStyle w:val="ListBullet"/>
      </w:pPr>
      <w:r>
        <w:t>Align the named internal accountable owner with Roles &amp; RACI and Partner Responsibility Matrix. Record provider evidence and residual risk before the architecture and production decisions.</w:t>
      </w:r>
    </w:p>
    <w:p>
      <w:r>
        <w:t>For example, a RAG assistant may use a cloud provider, a foundation model, an orchestration service and an internal application team. The provider might secure the base model, while the customer owns access to retrieved documents, tool permissions, output review, integration logs and use case monitoring. Confirm the exact allocation through the deployed service and contract.</w:t>
      </w:r>
    </w:p>
    <w:p>
      <w:pPr>
        <w:pStyle w:val="Heading2"/>
      </w:pPr>
      <w:r>
        <w:t>4.1  Preserve identity authority and accountability</w:t>
      </w:r>
    </w:p>
    <w:p>
      <w:pPr/>
      <w:r>
        <w:t>Activity and purpose: IAM Lead and Security Lead / Architect define distinct, attributable agent/service identities and least-privilege rights with the Solution Architect and AI Governance Lead. Each receiving service verifies caller identity, requested action/resource, current authority and any delegated scope before acting. A handoff cannot silently broaden authority or transfer the business owner’s accountability. Delegated rights stay within the approved caller/delegator/receiver limits, with explicit targets, expiry, depth and consequential-action approvals.</w:t>
      </w:r>
    </w:p>
    <w:p>
      <w:pPr/>
      <w:r>
        <w:t>Handle credentials through approved secret/identity services, with scoped audience, rotation and effective revocation; do not copy credentials into transferable memory or telemetry. Define behavior when identity/policy services are unavailable or cached grants are stale. Actions whose required authority cannot be verified stop; any permitted degraded mode has an explicit prior policy. Prompts express intent but do not enforce permissions. Network location or a communication protocol does not itself establish trust [S1].</w:t>
      </w:r>
    </w:p>
    <w:p>
      <w:pPr/>
      <w:r>
        <w:t>Output and acceptance: identity/scope and human-approval matrices, receiving-service enforcement design, secret/revocation procedures and tested denial/delegation cases. Can operators revoke a grant and prevent queued, cached or restarted execution from using it? Record propagation limits and unresolved service coverage. Applicability: identity and authorization apply wherever services/actions are used; delegation limits apply only where delegation occurs, including centralized hosting. Workbook links: T039,T049,T065,T067,T078,T093,T100,T140,T142,T232.</w:t>
      </w:r>
    </w:p>
    <w:p>
      <w:pPr>
        <w:pStyle w:val="Heading1"/>
      </w:pPr>
      <w:r>
        <w:t>5  Run the schedule and the eight gates</w:t>
      </w:r>
    </w:p>
    <w:p>
      <w:r>
        <w:t>The schedule columns include task ID, phase, activity, duration, planned dates, predecessors, owner, supporting roles, deliverable, acceptance criteria, gate, priority, status, control reference, source basis and planning notes. Update a project copy after validating the dependencies with engineering and control owners. Recalculate dates from staffing, procurement, vendor lead times and gate capacity; the dates in the workbook are illustrative.</w:t>
      </w:r>
    </w:p>
    <w:tbl>
      <w:tblPr>
        <w:tblW w:type="auto" w:w="0"/>
        <w:jc w:val="center"/>
        <w:tblLayout w:type="fixed"/>
        <w:tblLook w:firstColumn="1" w:firstRow="1" w:lastColumn="0" w:lastRow="0" w:noHBand="0" w:noVBand="1" w:val="04A0"/>
      </w:tblPr>
      <w:tblGrid>
        <w:gridCol w:w="1930"/>
        <w:gridCol w:w="7690"/>
      </w:tblGrid>
      <w:tr>
        <w:trPr>
          <w:cantSplit/>
          <w:tblHeader w:val="true"/>
        </w:trPr>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Gate</w:t>
            </w:r>
          </w:p>
        </w:tc>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Decision and minimum evidence focus</w:t>
            </w:r>
          </w:p>
        </w:tc>
      </w:tr>
      <w:tr>
        <w:trPr>
          <w:cantSplit/>
        </w:trPr>
        <w:tc>
          <w:tcPr>
            <w:tcW w:type="dxa" w:w="19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1  Mobilization</w:t>
            </w:r>
          </w:p>
        </w:tc>
        <w:tc>
          <w:tcPr>
            <w:tcW w:type="dxa" w:w="76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Sponsor, scope, owners and inventory/risk baseline accepted. Include distribution justification or N/A rationale and proposed boundary/authority decisions.</w:t>
            </w:r>
          </w:p>
        </w:tc>
      </w:tr>
      <w:tr>
        <w:trPr>
          <w:cantSplit/>
        </w:trPr>
        <w:tc>
          <w:tcPr>
            <w:tcW w:type="dxa" w:w="193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2  Architecture</w:t>
            </w:r>
          </w:p>
        </w:tc>
        <w:tc>
          <w:tcPr>
            <w:tcW w:type="dxa" w:w="769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Target architecture, threat model, control design, telemetry, data and resilience scope accepted. Separate logical design from hosting and review interfaces, approved discovery and applicable transition prerequisites.</w:t>
            </w:r>
          </w:p>
        </w:tc>
      </w:tr>
      <w:tr>
        <w:trPr>
          <w:cantSplit/>
        </w:trPr>
        <w:tc>
          <w:tcPr>
            <w:tcW w:type="dxa" w:w="19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3  Authority</w:t>
            </w:r>
          </w:p>
        </w:tc>
        <w:tc>
          <w:tcPr>
            <w:tcW w:type="dxa" w:w="76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Capabilities, autonomy, identities, consequential actions and shutdown authority approved. Include receiving-service permissions, bounded delegation and effective stop/revocation responsibilities.</w:t>
            </w:r>
          </w:p>
        </w:tc>
      </w:tr>
      <w:tr>
        <w:trPr>
          <w:cantSplit/>
        </w:trPr>
        <w:tc>
          <w:tcPr>
            <w:tcW w:type="dxa" w:w="193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4  Core build</w:t>
            </w:r>
          </w:p>
        </w:tc>
        <w:tc>
          <w:tcPr>
            <w:tcW w:type="dxa" w:w="769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Infrastructure and deterministic action controls implemented and reviewed. Include safe retries, duplicate prevention, cancellation and interrupted-state reconciliation.</w:t>
            </w:r>
          </w:p>
        </w:tc>
      </w:tr>
      <w:tr>
        <w:trPr>
          <w:cantSplit/>
        </w:trPr>
        <w:tc>
          <w:tcPr>
            <w:tcW w:type="dxa" w:w="19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5  Telemetry</w:t>
            </w:r>
          </w:p>
        </w:tc>
        <w:tc>
          <w:tcPr>
            <w:tcW w:type="dxa" w:w="76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Agent/harness telemetry, monitoring and containment integrations ready. Trace business tasks across agents, tools, approvals and outcomes.</w:t>
            </w:r>
          </w:p>
        </w:tc>
      </w:tr>
      <w:tr>
        <w:trPr>
          <w:cantSplit/>
        </w:trPr>
        <w:tc>
          <w:tcPr>
            <w:tcW w:type="dxa" w:w="193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6  Security and evaluation</w:t>
            </w:r>
          </w:p>
        </w:tc>
        <w:tc>
          <w:tcPr>
            <w:tcW w:type="dxa" w:w="769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Material findings resolved or formally handled; boundary, adversarial, privacy and recovery testing accepted. Test components and complete workflows under applicable remote failure, denial, state conflict, duplicate and interruption scenarios.</w:t>
            </w:r>
          </w:p>
        </w:tc>
      </w:tr>
      <w:tr>
        <w:trPr>
          <w:cantSplit/>
        </w:trPr>
        <w:tc>
          <w:tcPr>
            <w:tcW w:type="dxa" w:w="193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7  Operational readiness</w:t>
            </w:r>
          </w:p>
        </w:tc>
        <w:tc>
          <w:tcPr>
            <w:tcW w:type="dxa" w:w="76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Runbooks, support, training, partner handoffs, incident response and BC/DR readiness complete. Confirm service ownership, incident coordination, cost/performance acceptance and effective containment/recovery.</w:t>
            </w:r>
          </w:p>
        </w:tc>
      </w:tr>
      <w:tr>
        <w:trPr>
          <w:cantSplit/>
        </w:trPr>
        <w:tc>
          <w:tcPr>
            <w:tcW w:type="dxa" w:w="193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8  Production authorization</w:t>
            </w:r>
          </w:p>
        </w:tc>
        <w:tc>
          <w:tcPr>
            <w:tcW w:type="dxa" w:w="7690"/>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Canary, monitoring, rollback, containment and entry criteria support a recorded sponsor decision; unresolved critical security blockers prohibit authorization. Authorize only the reviewed environment, data and authority scope; accept transition/rollback evidence for applicable moves.</w:t>
            </w:r>
          </w:p>
        </w:tc>
      </w:tr>
    </w:tbl>
    <w:p>
      <w:pPr>
        <w:spacing w:after="20"/>
      </w:pPr>
    </w:p>
    <w:p>
      <w:r>
        <w:t>At each gate, the program manager compiles the Deliverables Register items and links to underlying artifacts, identifies open risks and exceptions, confirms control owner signoff, and records a decision of approve, approve with conditions, defer or reject. Conditions require an owner, deadline, monitoring and re-review. A task marked Complete without accepted evidence is not gate ready. For Gate 8, use the full entry and exit criteria in Milestones &amp; Gates, including cybersecurity, data, privacy, continuity and DR approvals.</w:t>
      </w:r>
    </w:p>
    <w:p>
      <w:r>
        <w:t>The Agile Delivery View maps the same tasks to epics, work item types, sprint waves, Definition of Ready and Definition of Done. Teams can split tasks into backlog items and iterate within approved boundaries; release level gates still require evidence and authorization. Update both views by task ID and reconcile status at each governance cadence.</w:t>
      </w:r>
    </w:p>
    <w:p>
      <w:pPr>
        <w:pStyle w:val="Heading2"/>
      </w:pPr>
      <w:r>
        <w:t>5.1  Design modular services and a controlled transition</w:t>
      </w:r>
    </w:p>
    <w:p>
      <w:pPr/>
      <w:r>
        <w:t>Activity and roles: Solution Architect leads logical design with AI/ML Lead, Cloud / Platform Lead, Security Lead / Architect and integration engineers. Retain the AI Sandwich and Agent Control Plane control intent while defining workflow, orchestration, agent, model, tool, application and data/state boundaries. Map these responsibilities to deployment locations separately. Use versioned interfaces, approved service registration/discovery and replaceable integration adapters; document synchronous/asynchronous choices, compatibility, error semantics and vendor/platform dependencies.</w:t>
      </w:r>
    </w:p>
    <w:p>
      <w:pPr/>
      <w:r>
        <w:t>For a proposed move, record the business reason, permitted destination, data-transfer constraints, identity/connectivity capability, service support, state migration, contract compatibility and transition sequence. Balance portability against cost, latency, operational complexity and provider constraints. Set rollback conditions before rollout, including authorization/trace gaps, data inconsistency and unacceptable performance. Portability reduces coupling; it does not guarantee compatibility with every future platform. Protocol or adapter choices require implementation-specific conformance and security tests.</w:t>
      </w:r>
    </w:p>
    <w:p>
      <w:pPr/>
      <w:r>
        <w:t>Output and acceptance: separate logical/deployment views, interface/discovery register, dependency manifest and transition/rollback plan. Architecture reviewers ask whether each boundary has an owner, interface and enforcement point, whether prerequisites are met, and whether rollback restores approved versions, records and permissions. Applicability: modularity/contracts scale to every system; cross-environment transition work applies only when components move. Workbook links: T035,T037,T048,T054,T086,T089,T172,T431. The management-system relationship diagram remains separate from these conceptual technical views.</w:t>
      </w:r>
    </w:p>
    <w:p>
      <w:pPr>
        <w:pStyle w:val="Heading2"/>
      </w:pPr>
      <w:r>
        <w:t>5.2  Govern business records workflow state and memory</w:t>
      </w:r>
    </w:p>
    <w:p>
      <w:pPr/>
      <w:r>
        <w:t>Activity and purpose: Data Architect works with Product / Business Owner, data owners/stewards, Solution Architect and Privacy Lead to distinguish authoritative business records from workflow checkpoints, agent memory and derived caches. Assign ownership for each and specify permitted sharing, access, purpose, retention, location and deletion across primary and recovery copies. Memory is not an authoritative record merely because an agent uses it.</w:t>
      </w:r>
    </w:p>
    <w:p>
      <w:pPr/>
      <w:r>
        <w:t>Define optimistic concurrency control (OCC) or an equivalent version/conflict strategy, update ordering and reconciliation after interruption. Track applied, pending, failed and uncertain actions against authoritative records. On restart, verify state and existing transaction outcomes before replay; restore memory separately from business records. Shared-memory controls apply only where memory/context is retained or shared, even within centralized hosting.</w:t>
      </w:r>
    </w:p>
    <w:p>
      <w:pPr/>
      <w:r>
        <w:t>Output and review: source-of-truth/state design, data lifecycle entries and reconciliation/recovery procedure. Can teams identify the record owner, reject stale/conflicting updates, reconcile partial execution without repeating transactions, and honor retention across copies? Applicability: record/state rules follow workflow needs; persistent/shared-memory and cross-location controls are conditional. Workbook links: T040–T041,T092,T234,T248,T333,T336,T344,T391,T396.</w:t>
      </w:r>
    </w:p>
    <w:p>
      <w:pPr>
        <w:pStyle w:val="Heading2"/>
      </w:pPr>
      <w:r>
        <w:t>5.3  Build and test the complete workflow</w:t>
      </w:r>
    </w:p>
    <w:p>
      <w:pPr/>
      <w:r>
        <w:t>Activity and roles: engineering and Solution Architect implement timeouts, bounded retries and execution/cost budgets, duplicate-action prevention, cancellation, recovery and compensating actions. A timeout does not prove that a remote action failed. Resolve uncertain results before retrying a business transaction; use a durable request/action identifier where appropriate so repeated requests do not create repeated effects. A compensating action is a governed business correction, not a guarantee that every effect can be undone. AWS reliability guidance supports idempotent operations and bounded retries [S2]; the selected design remains implementation-specific.</w:t>
      </w:r>
    </w:p>
    <w:p>
      <w:pPr/>
      <w:r>
        <w:t>Test Lead coordinates component/contract tests and end-to-end business acceptance with Security Lead / Architect, IAM Lead, Data Architect, SRE / Operations and Product / Business Owner. Include remote-service/policy outage, denied or revoked access, stale/conflicting state, repeated requests, delegation limits, queued cancellation and interrupted execution where applicable. Evaluate business outcome/quality, latency, cost, security, traceability and recovery against agreed criteria, including checks that recovery does not restore revoked permissions and reconciliation of uncertain transactions.</w:t>
      </w:r>
    </w:p>
    <w:p>
      <w:pPr/>
      <w:r>
        <w:t>Output and acceptance: requirement-linked scenarios, component and workflow results, cost/load evidence and remediation/exception decisions. Review whether failures can silently repeat transactions, cause uncontrolled work or hide missing audit events. Thresholds are use-case decisions, not universal values. Applicability: every workflow needs proportionate evaluation; remote and delegation cases follow actual boundaries/authority. Workbook links: T042,T098,T109,T115,T127,T140,T142,T145,T147,T229,T235,T251,T254.</w:t>
      </w:r>
    </w:p>
    <w:p>
      <w:pPr>
        <w:pStyle w:val="Heading2"/>
      </w:pPr>
      <w:r>
        <w:t>5.4  Authorize and operate the reviewed capability</w:t>
      </w:r>
    </w:p>
    <w:p>
      <w:pPr/>
      <w:r>
        <w:t>Activity and roles: SRE / Operations, SOC / Incident Response, Cloud / Platform Lead and provider contacts define service ownership, support coverage, incident lead, escalation, monitoring, stop/revocation and recovery handoffs. Program Manager assembles the gate evidence with Product / Business Owner, Security Lead / Architect, IAM Lead and relevant control owners. The existing gate authorities decide acceptance and residual risk; the guide grants no approval.</w:t>
      </w:r>
    </w:p>
    <w:p>
      <w:pPr/>
      <w:r>
        <w:t>Output and acceptance: an evidence package for the actual environment/interface/data/authority scope, including complete workflow results, end-to-end task traces through agents/tools/approvals/business outcomes, denial/delegation tests, containment and effective revocation demonstrations, state recovery, support/runbooks, provider responsibilities and cost/performance results. Can execution be contained when a component is unreachable? Can permissions be revoked without agent cooperation? Are residual exposure, recovery limits and operating cost acceptable to the responsible owners? A successful pilot supplies learning; it is not sufficient production authorization.</w:t>
      </w:r>
    </w:p>
    <w:p>
      <w:pPr/>
      <w:r>
        <w:t>Applicability: ownership, operating cost and evidence-based authorization apply to production use; cross-provider incident coordination and transition/rollback evidence depend on the chosen deployment. Include network/egress, orchestration, identity, observability, state, retry/recovery and support costs in the workflow economics. Gate 7 prepares readiness; Gate 8 records production authorization. Expansion follows the relevant canary, rollback and authorization decisions. Workbook links: T151,T167,T172,T175–T176,T179,T223,T229,T373,T387,T396.</w:t>
      </w:r>
    </w:p>
    <w:p>
      <w:pPr>
        <w:pStyle w:val="Heading1"/>
      </w:pPr>
      <w:r>
        <w:t>6  Work with the control and evidence registers</w:t>
      </w:r>
    </w:p>
    <w:p>
      <w:pPr>
        <w:pStyle w:val="Heading2"/>
      </w:pPr>
      <w:r>
        <w:t>6.1  Framework mapping</w:t>
      </w:r>
    </w:p>
    <w:p>
      <w:r>
        <w:t>Use Regulatory &amp; Framework Traceability to record whether each source applies, the implementation approach, task IDs, owner, evidence, validation and status. Use Control Traceability to connect a control domain with specific framework IDs, AI stack actor, lifecycle relevance, threat, test, cadence and applicability notes. The v10 rows for NIST IR 8596 map Secure, Defend and Thwart at an outcome level; they are not a complete subcategory by subcategory implementation matrix. Build a deeper control mapping only where project assurance or audit requires it.</w:t>
      </w:r>
    </w:p>
    <w:p>
      <w:r>
        <w:t>Treat NIST IR 8596 as an initial preliminary draft. Keep its version and review date with any mapping. CSA AICM and CCM are control references; adoption and applicability are risk based unless a contract or policy makes them binding. Determine EU CRA and EU AI Act obligations with the organization’s legal team. When two frameworks ask for the same outcome, link them to one implemented control and evidence object instead of creating duplicate execution tasks. The architectural-evolution practices in this guide are implementation recommendations. They become binding only through applicable law, contract or adopted organizational policy; no new formal ISO, NIST or CSA obligation is asserted. Current primary-source checks and limits are recorded in Section 11.</w:t>
      </w:r>
    </w:p>
    <w:p>
      <w:pPr>
        <w:pStyle w:val="Heading2"/>
      </w:pPr>
      <w:r>
        <w:t>6.2  Evidence and assurance</w:t>
      </w:r>
    </w:p>
    <w:tbl>
      <w:tblPr>
        <w:tblW w:type="auto" w:w="0"/>
        <w:jc w:val="center"/>
        <w:tblLayout w:type="fixed"/>
        <w:tblLook w:firstColumn="1" w:firstRow="1" w:lastColumn="0" w:lastRow="0" w:noHBand="0" w:noVBand="1" w:val="04A0"/>
      </w:tblPr>
      <w:tblGrid>
        <w:gridCol w:w="2952"/>
        <w:gridCol w:w="6667"/>
      </w:tblGrid>
      <w:tr>
        <w:trPr>
          <w:cantSplit/>
          <w:tblHeader w:val="true"/>
        </w:trPr>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Register</w:t>
            </w:r>
          </w:p>
        </w:tc>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How to complete it</w:t>
            </w:r>
          </w:p>
        </w:tc>
      </w:tr>
      <w:tr>
        <w:trPr>
          <w:cantSplit/>
        </w:trPr>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Cybersecurity Readiness</w:t>
            </w:r>
          </w:p>
        </w:tc>
        <w:tc>
          <w:tcPr>
            <w:tcW w:type="dxa" w:w="666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Record current/required state, finding, severity, remediation, owner, due date, evidence, exception and the new effectiveness metric, threshold and cadence or evidence age.</w:t>
            </w:r>
          </w:p>
        </w:tc>
      </w:tr>
      <w:tr>
        <w:trPr>
          <w:cantSplit/>
        </w:trPr>
        <w:tc>
          <w:tcPr>
            <w:tcW w:type="dxa" w:w="295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Data Lifecycle; Data Protection &amp; Privacy</w:t>
            </w:r>
          </w:p>
        </w:tc>
        <w:tc>
          <w:tcPr>
            <w:tcW w:type="dxa" w:w="6667"/>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Identify asset, owner, use rights, classification, lineage, new supply chain trust source, access, retention, protection design and verification. Distinguish authoritative records, workflow state and memory, including sharing and interrupted-execution reconciliation.</w:t>
            </w:r>
          </w:p>
        </w:tc>
      </w:tr>
      <w:tr>
        <w:trPr>
          <w:cantSplit/>
        </w:trPr>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Model Experiment</w:t>
            </w:r>
          </w:p>
        </w:tc>
        <w:tc>
          <w:tcPr>
            <w:tcW w:type="dxa" w:w="666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Capture candidate, versioned data and configuration, baseline, metrics, thresholds, failures, decision and six new model security fields.</w:t>
            </w:r>
          </w:p>
        </w:tc>
      </w:tr>
      <w:tr>
        <w:trPr>
          <w:cantSplit/>
        </w:trPr>
        <w:tc>
          <w:tcPr>
            <w:tcW w:type="dxa" w:w="2952"/>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Business Continuity; Disaster Recovery</w:t>
            </w:r>
          </w:p>
        </w:tc>
        <w:tc>
          <w:tcPr>
            <w:tcW w:type="dxa" w:w="6667"/>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Capture fallback and maximum tolerable downtime for the business process; capture technology RTO/RPO, trusted rebuild, recovery sequence and test evidence separately. Verify revocation and state consistency before restoring agent authority.</w:t>
            </w:r>
          </w:p>
        </w:tc>
      </w:tr>
      <w:tr>
        <w:trPr>
          <w:cantSplit/>
        </w:trPr>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Control Effectiveness Metrics</w:t>
            </w:r>
          </w:p>
        </w:tc>
        <w:tc>
          <w:tcPr>
            <w:tcW w:type="dxa" w:w="666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For material controls, define a measure or test, threshold, evidence source, owner, cadence, freshness limit, current result, trend and escalation or risk acceptance.</w:t>
            </w:r>
          </w:p>
        </w:tc>
      </w:tr>
    </w:tbl>
    <w:p>
      <w:pPr>
        <w:spacing w:after="20"/>
      </w:pPr>
    </w:p>
    <w:p>
      <w:r>
        <w:t>Use actual evidence pointers and dates in the project repository. A provider questionnaire alone does not prove that a customer configuration works; combine contractual assurance with configuration review, testing or telemetry as appropriate. Refresh evidence after significant system, provider, model, data or authority changes.</w:t>
      </w:r>
    </w:p>
    <w:p>
      <w:pPr>
        <w:pStyle w:val="Heading1"/>
      </w:pPr>
      <w:r>
        <w:t>7  Maintain the AI supply chain and model security lane</w:t>
      </w:r>
    </w:p>
    <w:p>
      <w:r>
        <w:t>The AI System BOM contains dependency ID, type, name, provider, version, environment, function, stack layer, provenance, sensitivity, criticality, connectivity, authority, vulnerability status, assurance, fallback, support date and change trigger. Seed it during architecture and procurement, then update it through build, release, incidents and retirement. Link a BOM record to the system inventory, vendor assessment, change ticket and SSRM control owner. For selected remote services, use existing BOM fields to link hosting/trust boundaries, interface versions, approved discovery, shared dependencies and transition/fallback references. Refer to Sections 4.1 and 5.1 rather than creating duplicate control tasks.</w:t>
      </w:r>
    </w:p>
    <w:p>
      <w:r>
        <w:t>For model development, use T435–T443 alongside T403–T426. Experiments establish quality, reproducibility and suitability; the new lane establishes pipeline and artifact protection, data integrity, signing or equivalent assurance, repository access, extraction/evasion analysis, hardening, release checks, monitoring and retirement. The Model Experiment Register has fields for pipeline security, artifact scan, threat analysis, signing/provenance, release integrity and security decision. A purchased model normally needs provider evidence for upstream work plus internal testing of integration and customer duties.</w:t>
      </w:r>
    </w:p>
    <w:p>
      <w:r>
        <w:t>Use AI-CAIQ, CAIQ, STAR/STAR for AI information or a comparable assessment where available for T430. Document missing evidence and ownership in the SSRM and vendor risk process. Reassess at major version, terms, region, model, tool permission or provider changes. For remote providers, verify actual support, location/subprocessor, telemetry, revocation, change-notice, continuity and exit commitments with Vendor Management, Risk / Compliance / Legal and service owners. Acceptance requires no unowned material control or unresolved critical handoff; undocumented capabilities remain assumptions. Apply this extension where provider boundaries introduce those dependencies (T218,T220,T429–T431).</w:t>
      </w:r>
    </w:p>
    <w:p>
      <w:pPr>
        <w:pStyle w:val="Heading1"/>
      </w:pPr>
      <w:r>
        <w:t>8  Worked tailoring example for evolving a RAG assistant</w:t>
      </w:r>
    </w:p>
    <w:p>
      <w:r>
        <w:t>Scenario: an internal agent capability retrieves approved policy documents and drafts answers for employees. Initially its orchestration, retrieval adapter and workflow state are centrally deployed; it calls a purchased hosted model. It has no authority to update business records. Later, the organization proposes moving retrieval into a separately operated service near an approved document repository. This distributes a workflow service without requiring another agent, decentralized governance or expanded authority. The profile is illustrative, not a completed assessment.</w:t>
      </w:r>
    </w:p>
    <w:tbl>
      <w:tblPr>
        <w:tblW w:type="auto" w:w="0"/>
        <w:jc w:val="center"/>
        <w:tblLayout w:type="fixed"/>
        <w:tblLook w:firstColumn="1" w:firstRow="1" w:lastColumn="0" w:lastRow="0" w:noHBand="0" w:noVBand="1" w:val="04A0"/>
      </w:tblPr>
      <w:tblGrid>
        <w:gridCol w:w="1958"/>
        <w:gridCol w:w="7661"/>
      </w:tblGrid>
      <w:tr>
        <w:trPr>
          <w:cantSplit/>
          <w:tblHeader w:val="true"/>
        </w:trPr>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Decision</w:t>
            </w:r>
          </w:p>
        </w:tc>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Example project record</w:t>
            </w:r>
          </w:p>
        </w:tc>
      </w:tr>
      <w:tr>
        <w:trPr>
          <w:cantSplit/>
        </w:trPr>
        <w:tc>
          <w:tcPr>
            <w:tcW w:type="dxa" w:w="195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Scope and outcome</w:t>
            </w:r>
          </w:p>
        </w:tc>
        <w:tc>
          <w:tcPr>
            <w:tcW w:type="dxa" w:w="766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Answer quality and employee time saved; approved document collection and users; no consequential tool actions.</w:t>
            </w:r>
          </w:p>
        </w:tc>
      </w:tr>
      <w:tr>
        <w:trPr>
          <w:cantSplit/>
        </w:trPr>
        <w:tc>
          <w:tcPr>
            <w:tcW w:type="dxa" w:w="195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Applicable work</w:t>
            </w:r>
          </w:p>
        </w:tc>
        <w:tc>
          <w:tcPr>
            <w:tcW w:type="dxa" w:w="766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T001–T014 mobilization; discovery and architecture; relevant data rights, privacy, cyber readiness, vendor assurance, RAG experiments, testing, operations and gates. T427–T433 support risk based AI security assurance.</w:t>
            </w:r>
          </w:p>
        </w:tc>
      </w:tr>
      <w:tr>
        <w:trPr>
          <w:cantSplit/>
        </w:trPr>
        <w:tc>
          <w:tcPr>
            <w:tcW w:type="dxa" w:w="195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Conditional work</w:t>
            </w:r>
          </w:p>
        </w:tc>
        <w:tc>
          <w:tcPr>
            <w:tcW w:type="dxa" w:w="766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T434 CRA: legal review of product scope; likely N/A for an internal deployment if outside scope, with recorded rationale. T444–T450: N/A because the assistant is not a cyber defense tool. Custom training subactivities: N/A if no training/fine tuning occurs.</w:t>
            </w:r>
          </w:p>
        </w:tc>
      </w:tr>
      <w:tr>
        <w:trPr>
          <w:cantSplit/>
        </w:trPr>
        <w:tc>
          <w:tcPr>
            <w:tcW w:type="dxa" w:w="195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Shared responsibility</w:t>
            </w:r>
          </w:p>
        </w:tc>
        <w:tc>
          <w:tcPr>
            <w:tcW w:type="dxa" w:w="766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Model provider covers base model controls supported by assurance; cloud provider covers service layer controls; AI customer owns repository permissions, retrieval content rights, connector configuration, prompt/tool policy, logs and human support. On transition, the retrieval-service owner operates access checks and support; the same Product / Business Owner remains accountable for the outcome.</w:t>
            </w:r>
          </w:p>
        </w:tc>
      </w:tr>
      <w:tr>
        <w:trPr>
          <w:cantSplit/>
        </w:trPr>
        <w:tc>
          <w:tcPr>
            <w:tcW w:type="dxa" w:w="195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BOM and evidence</w:t>
            </w:r>
          </w:p>
        </w:tc>
        <w:tc>
          <w:tcPr>
            <w:tcW w:type="dxa" w:w="766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Record foundation and embedding models, search/index, vector store, connectors, prompt/policy version, source repository, identities, cloud region and security services. Link provider assurance and configuration/test evidence. Add the approved retrieval-service location, interface version, distinct service identity, discovery entry and shared dependencies; preserve one business-task correlation ID.</w:t>
            </w:r>
          </w:p>
        </w:tc>
      </w:tr>
      <w:tr>
        <w:trPr>
          <w:cantSplit/>
        </w:trPr>
        <w:tc>
          <w:tcPr>
            <w:tcW w:type="dxa" w:w="195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Gate 8 decision</w:t>
            </w:r>
          </w:p>
        </w:tc>
        <w:tc>
          <w:tcPr>
            <w:tcW w:type="dxa" w:w="766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Approve only after source access and answer evaluation, privacy/security tests, incident and fallback procedures, owner training, canary result and documented residual risk are accepted. For the move, include boundary authorization, outage/state/cancellation tests, end-to-end cost/latency, effective revocation and tested routing rollback.</w:t>
            </w:r>
          </w:p>
        </w:tc>
      </w:tr>
    </w:tbl>
    <w:p>
      <w:pPr>
        <w:spacing w:after="20"/>
      </w:pPr>
    </w:p>
    <w:p>
      <w:pPr/>
      <w:r>
        <w:t>Transition decision: Product / Business Owner and Solution Architect justify the move through data-location or scaling needs and confirm the destination, versioned retrieval interface, read-only scope and support contract. IAM Lead assigns separate agent/service identities; the retrieval service verifies caller authority and repository permissions. A service handoff preserves the original accountable owner and cannot add write rights. Program Manager records prerequisites and gate decisions before the canary.</w:t>
      </w:r>
    </w:p>
    <w:p>
      <w:pPr/>
      <w:r>
        <w:t>Traceability and recovery: carry the same task ID through orchestration, retrieval, model call and response. On an interrupted retrieval, bound retries and cancel remaining work; validate the workflow checkpoint and document version before resuming. Stop if authority or source validity cannot be verified. Roll back to the approved local adapter only if access, state, location and interface conditions still hold; revoke obsolete service permissions and reconcile outstanding requests. Accept the move only after the Section 5.4 evidence meets agreed criteria; no business-write recovery is assumed for this read-only example.</w:t>
      </w:r>
    </w:p>
    <w:p>
      <w:r>
        <w:t>If the assistant later gains a write action, open a material change review. Reassess capability authority, deterministic action control, threat model, testing, SSRM, BOM, metrics and gate approval before expanding production authority.</w:t>
      </w:r>
    </w:p>
    <w:p>
      <w:pPr>
        <w:pStyle w:val="Heading1"/>
      </w:pPr>
      <w:r>
        <w:t>9  Measurement, exceptions and change control</w:t>
      </w:r>
    </w:p>
    <w:p>
      <w:r>
        <w:t>Select a small number of metrics that reveal whether the most important controls work. Illustrative measures include ownership coverage for critical AI dependencies, BOM completeness, age of supplier evidence, unresolved critical findings, percentage of consequential actions with authorization records, test coverage, recovery exercise results and model security checks before promotion. Define a denominator, threshold, owner and response to a breach for every quantitative measure. Do not treat sample targets in the register as universal policy.</w:t>
      </w:r>
    </w:p>
    <w:p>
      <w:r>
        <w:t>Record an exception with affected task/control, reason, compensating control, impact, approver, expiry, monitoring, closure owner and gate consequence. An exception does not override a mandatory legal or contractual requirement. The sponsor and relevant control authority decide residual risk according to organizational policy.</w:t>
      </w:r>
    </w:p>
    <w:p>
      <w:r>
        <w:t>Review the profile at intake, architecture approval, provider selection, model or tool change, new data use, expanded autonomy, production release, significant incident and periodic operations. Version the project working copy and evidence index; retain the prior decision and reason when applicability changes. Refresh NIST draft mapping when the source changes materially and reconcile CSA control version updates before claiming an exact control mapping. Hosting/trust-boundary, supplier/service discovery, interface, data-access/location, delegation and execution-authority changes trigger a materiality assessment before production. Program Manager routes the change to Solution Architect, Security/IAM, data/privacy, SRE / Operations, AI Governance Lead and relevant vendor/control owners. Record affected risks, contracts, interfaces, tests, evidence, rollback and authorization scope; reuse unchanged evidence only after confirming its scope remains valid. Material changes return to the affected architecture, authority, evaluation, readiness and production reviews; smaller compatible changes use the existing proportionate change process. Emergency actions follow that process and its required subsequent review, without silently enlarging authority (T009,T214,T220,T238).</w:t>
      </w:r>
    </w:p>
    <w:p>
      <w:pPr>
        <w:pStyle w:val="Heading1"/>
      </w:pPr>
      <w:r>
        <w:t>10  Pre use quality checks for the v11 workbook</w:t>
      </w:r>
    </w:p>
    <w:p>
      <w:r>
        <w:t>Before using the v11 workbook as an executable baseline, the Program Manager should resolve the following points in a controlled working copy. Version 11 preserves task history and illustrative dates; the additional evidence and predecessor links require project-specific sequencing and review.</w:t>
      </w:r>
    </w:p>
    <w:tbl>
      <w:tblPr>
        <w:tblW w:type="auto" w:w="0"/>
        <w:jc w:val="center"/>
        <w:tblLayout w:type="fixed"/>
        <w:tblLook w:firstColumn="1" w:firstRow="1" w:lastColumn="0" w:lastRow="0" w:noHBand="0" w:noVBand="1" w:val="04A0"/>
      </w:tblPr>
      <w:tblGrid>
        <w:gridCol w:w="1656"/>
        <w:gridCol w:w="3744"/>
        <w:gridCol w:w="4219"/>
      </w:tblGrid>
      <w:tr>
        <w:trPr>
          <w:cantSplit/>
          <w:tblHeader w:val="true"/>
        </w:trPr>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Check</w:t>
            </w:r>
          </w:p>
        </w:tc>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Observed in the v11 baseline</w:t>
            </w:r>
          </w:p>
        </w:tc>
        <w:tc>
          <w:tcPr>
            <w:tcW w:type="dxa" w:w="3255"/>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Action</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Dates</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The retained illustrative finish and gate targets differ. Added predecessor links create four date conflicts: T175←T174, T176←T175, T176←T179 and T179←T174.</w:t>
            </w:r>
          </w:p>
        </w:tc>
        <w:tc>
          <w:tcPr>
            <w:tcW w:type="dxa" w:w="421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Rebaseline dates/resources after sequencing applicable evidence and gate decisions. Existing links are retained; the added links are acyclic. See the workbook v11 Change Log.</w:t>
            </w:r>
          </w:p>
        </w:tc>
      </w:tr>
      <w:tr>
        <w:trPr>
          <w:cantSplit/>
        </w:trPr>
        <w:tc>
          <w:tcPr>
            <w:tcW w:type="dxa" w:w="165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Schedule status</w:t>
            </w:r>
          </w:p>
        </w:tc>
        <w:tc>
          <w:tcPr>
            <w:tcW w:type="dxa" w:w="3744"/>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Status/applicability validation limitations described in v10 remain; v11 makes no schema or validation change.</w:t>
            </w:r>
          </w:p>
        </w:tc>
        <w:tc>
          <w:tcPr>
            <w:tcW w:type="dxa" w:w="421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Extend a consistent status validation to all task rows in a project copy and create a separate applicability log. Avoid silently inserting N/A into a restricted cell.</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Traceability granularity</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v11 reconciles affected representative mappings but retains some older mismatches, including ingress security referencing T060–T061 rather than T036/T087. Outcome/domain-level framework links remain.</w:t>
            </w:r>
          </w:p>
        </w:tc>
        <w:tc>
          <w:tcPr>
            <w:tcW w:type="dxa" w:w="421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Verify the actual task activity before relying on a representative mapping. Reconcile remaining control-to-task mismatches in a separate controlled update; populate required owner/test/evidence fields without inventing framework requirements.</w:t>
            </w:r>
          </w:p>
        </w:tc>
      </w:tr>
      <w:tr>
        <w:trPr>
          <w:cantSplit/>
        </w:trPr>
        <w:tc>
          <w:tcPr>
            <w:tcW w:type="dxa" w:w="1656"/>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Resource and gate logic</w:t>
            </w:r>
          </w:p>
        </w:tc>
        <w:tc>
          <w:tcPr>
            <w:tcW w:type="dxa" w:w="3744"/>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Durations and planned dates are illustrative; some new task dependencies need project specific validation.</w:t>
            </w:r>
          </w:p>
        </w:tc>
        <w:tc>
          <w:tcPr>
            <w:tcW w:type="dxa" w:w="4219"/>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Confirm staffing, procurement lead times, dependency logic, gate approvers and any cross workstream critical path before publishing a plan.</w:t>
            </w:r>
          </w:p>
        </w:tc>
      </w:tr>
    </w:tbl>
    <w:p>
      <w:pPr>
        <w:spacing w:after="20"/>
      </w:pPr>
    </w:p>
    <w:p>
      <w:pPr>
        <w:pStyle w:val="Heading2"/>
      </w:pPr>
      <w:r>
        <w:t>10.1  Keep companion artifacts consistent</w:t>
      </w:r>
    </w:p>
    <w:p>
      <w:pPr/>
      <w:r>
        <w:t>Completed here: the guide, its kickoff checklist and lifecycle/gate guidance align to the current v11 master task IDs. The guide has no embedded technical diagrams. The v11 workbook was completed separately and is not modified by this guide update.</w:t>
      </w:r>
    </w:p>
    <w:p>
      <w:pPr/>
      <w:r>
        <w:t>Proposed next updates: reconcile the remaining legacy Control Traceability mappings and project-copy status validation; extend the architecture/transition, identity/delegation, state/memory, test, service-support and change-review templates and release checklists with the evidence described in Sections 3.4–5.4 and 9. The companion change log lists each artifact, responsible role and review criterion.</w:t>
      </w:r>
    </w:p>
    <w:p>
      <w:pPr/>
      <w:r>
        <w:t>Proposed conceptual views: a logical architecture view showing workflow/service/data interactions and authorization/trace points; a deployment-options view comparing centrally hosted services with selected remote placements, trust boundaries and shared dependencies. Keep both distinct from the management-system relationship diagram. These are proposals, not completed diagrams or approved technical designs.</w:t>
      </w:r>
    </w:p>
    <w:p>
      <w:r>
        <w:br w:type="page"/>
      </w:r>
    </w:p>
    <w:p>
      <w:pPr>
        <w:pStyle w:val="Heading1"/>
      </w:pPr>
      <w:r>
        <w:t>11  Source basis and limitations</w:t>
      </w:r>
    </w:p>
    <w:tbl>
      <w:tblPr>
        <w:tblW w:type="auto" w:w="0"/>
        <w:jc w:val="center"/>
        <w:tblLayout w:type="fixed"/>
        <w:tblLook w:firstColumn="1" w:firstRow="1" w:lastColumn="0" w:lastRow="0" w:noHBand="0" w:noVBand="1" w:val="04A0"/>
      </w:tblPr>
      <w:tblGrid>
        <w:gridCol w:w="4651"/>
        <w:gridCol w:w="4968"/>
      </w:tblGrid>
      <w:tr>
        <w:trPr>
          <w:cantSplit/>
          <w:tblHeader w:val="true"/>
        </w:trPr>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Source supplied with the model</w:t>
            </w:r>
          </w:p>
        </w:tc>
        <w:tc>
          <w:tcPr>
            <w:tcW w:type="dxa" w:w="4882"/>
            <w:vAlign w:val="center"/>
            <w:shd w:fill="183450"/>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color w:val="FFFFFF"/>
                <w:sz w:val="17"/>
              </w:rPr>
              <w:t>Use in this guide and workbook baseline</w:t>
            </w:r>
          </w:p>
        </w:tc>
      </w:tr>
      <w:tr>
        <w:trPr>
          <w:cantSplit/>
        </w:trPr>
        <w:tc>
          <w:tcPr>
            <w:tcW w:type="dxa" w:w="46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NIST IR 8596 iprd, Cybersecurity Framework Profile for Artificial Intelligence, initial preliminary draft, December 2025</w:t>
            </w:r>
          </w:p>
        </w:tc>
        <w:tc>
          <w:tcPr>
            <w:tcW w:type="dxa" w:w="49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Secure, Defend and Thwart framing; AI specific cybersecurity mapping and conditional defensive AI. Draft content may change.</w:t>
            </w:r>
          </w:p>
        </w:tc>
      </w:tr>
      <w:tr>
        <w:trPr>
          <w:cantSplit/>
        </w:trPr>
        <w:tc>
          <w:tcPr>
            <w:tcW w:type="dxa" w:w="465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CSA AI Controls Matrix v1.1 workbook and Introductory Guidance to AICM v1.1</w:t>
            </w:r>
          </w:p>
        </w:tc>
        <w:tc>
          <w:tcPr>
            <w:tcW w:type="dxa" w:w="496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AI control applicability, five actor shared security responsibility, AI provider assurance and model development security MDS controls.</w:t>
            </w:r>
          </w:p>
        </w:tc>
      </w:tr>
      <w:tr>
        <w:trPr>
          <w:cantSplit/>
        </w:trPr>
        <w:tc>
          <w:tcPr>
            <w:tcW w:type="dxa" w:w="46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CSA Cloud Controls Matrix v4.1.0 workbook and CCM v4.1 Implementation Guidelines v2.1</w:t>
            </w:r>
          </w:p>
        </w:tc>
        <w:tc>
          <w:tcPr>
            <w:tcW w:type="dxa" w:w="49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Cloud responsibility, supplier/dependency assurance and continuous control effectiveness.</w:t>
            </w:r>
          </w:p>
        </w:tc>
      </w:tr>
      <w:tr>
        <w:trPr>
          <w:cantSplit/>
        </w:trPr>
        <w:tc>
          <w:tcPr>
            <w:tcW w:type="dxa" w:w="4651"/>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Regulation (EU) 2024/2847, Cyber Resilience Act</w:t>
            </w:r>
          </w:p>
        </w:tc>
        <w:tc>
          <w:tcPr>
            <w:tcW w:type="dxa" w:w="4968"/>
            <w:vAlign w:val="center"/>
            <w:shd w:fill="F1F5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Conditional product with digital elements applicability and lifecycle product cybersecurity concepts.</w:t>
            </w:r>
          </w:p>
        </w:tc>
      </w:tr>
      <w:tr>
        <w:trPr>
          <w:cantSplit/>
        </w:trPr>
        <w:tc>
          <w:tcPr>
            <w:tcW w:type="dxa" w:w="46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Enterprise AI Implementation Reference Model v9, v10 and v11; historical Change Report and v11 Change Log</w:t>
            </w:r>
          </w:p>
        </w:tc>
        <w:tc>
          <w:tcPr>
            <w:tcW w:type="dxa" w:w="49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rPr>
                <w:rFonts w:ascii="Aptos" w:hAnsi="Aptos"/>
                <w:b w:val="0"/>
                <w:color w:val="191F26"/>
                <w:sz w:val="17"/>
              </w:rPr>
              <w:t>Task IDs, workbook/gate structure and historical rationale. v11 is the cross-reference baseline; no task IDs were invented for this guide.</w:t>
            </w:r>
          </w:p>
        </w:tc>
      </w:tr>
      <w:tr>
        <w:trPr>
          <w:cantSplit/>
        </w:trPr>
        <w:tc>
          <w:tcPr>
            <w:tcW w:type="dxa" w:w="4651"/>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t>[S1] NIST SP 800-207 Zero Trust Architecture, August 2020</w:t>
            </w:r>
          </w:p>
        </w:tc>
        <w:tc>
          <w:tcPr>
            <w:tcW w:type="dxa" w:w="496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t>Primary basis for no implicit trust from location and explicit authentication/authorization. Applies as technical guidance, not a newly imposed requirement.</w:t>
            </w:r>
          </w:p>
        </w:tc>
      </w:tr>
      <w:tr>
        <w:trPr>
          <w:cantSplit/>
        </w:trPr>
        <w:tc>
          <w:tcPr>
            <w:tcW w:type="dxa" w:w="465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t>[S2] AWS Well-Architected Reliability Pillar, REL04-BP04 and REL05-BP03</w:t>
            </w:r>
          </w:p>
        </w:tc>
        <w:tc>
          <w:tcPr>
            <w:tcW w:type="dxa" w:w="49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t>Primary engineering guidance on idempotent mutating operations and bounded retries; provider-specific guidance informs the recommendation without prescribing AWS.</w:t>
            </w:r>
          </w:p>
        </w:tc>
      </w:tr>
      <w:tr>
        <w:trPr>
          <w:cantSplit/>
        </w:trPr>
        <w:tc>
          <w:tcPr>
            <w:tcW w:type="dxa" w:w="4651"/>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t>[S3] PyTorch Distributed Overview</w:t>
            </w:r>
          </w:p>
        </w:tc>
        <w:tc>
          <w:tcPr>
            <w:tcW w:type="dxa" w:w="4968"/>
            <w:vAlign w:val="center"/>
            <w:shd w:fill="F0F4F8"/>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4" w:lineRule="auto"/>
            </w:pPr>
            <w:r>
              <w:t>Primary example of model-compute parallelism; distinguishes distributed model infrastructure from agent/workflow-service deployment. No PyTorch adoption is required.</w:t>
            </w:r>
          </w:p>
        </w:tc>
      </w:tr>
    </w:tbl>
    <w:p>
      <w:pPr>
        <w:spacing w:after="20"/>
      </w:pPr>
    </w:p>
    <w:p>
      <w:r>
        <w:t>Official source locations recorded in the workbook Source Register and Regulatory &amp; Framework Traceability include https://doi.org/10.6028/NIST.IR.8596.iprd, https://cloudsecurityalliance.org/artifacts/ai-controls-matrix-v1-1, https://cloudsecurityalliance.org/research/cloud-controls-matrix, and https://eur-lex.europa.eu/eli/reg/2024/2847/oj. For exact control wording, applicability or legal interpretation, consult the source version, relevant policy and qualified owner. This guide is an implementation aid, not a certification or conformity claim.</w:t>
      </w:r>
    </w:p>
    <w:p>
      <w:pPr/>
      <w:r>
        <w:t>Primary-source checks on 2 October 2026: NIST’s IR 8596 publication page labels the cited December 2025 version Initial Preliminary Draft; CSA’s AICM page identifies the v1.1 release and actor-specific guidance. Preserve the exact source version used for mapping; do not infer a later control revision or future interoperability capability from a product label. This guide selects no named agent-interoperability protocol. If one is selected, verify its current primary specification, security model and supported versions, and test the actual implementations before acceptance.</w:t>
      </w:r>
    </w:p>
    <w:p>
      <w:pPr/>
      <w:r>
        <w:t>Technical source locations: [S1] https://csrc.nist.gov/pubs/sp/800/207/final; [S2] https://docs.aws.amazon.com/wellarchitected/latest/reliability-pillar/rel_prevent_interaction_failure_idempotent.html and https://docs.aws.amazon.com/wellarchitected/latest/reliability-pillar/rel_mitigate_interaction_failure_limit_retries.html; [S3] https://docs.pytorch.org/tutorials/beginner/dist_overview.html. Source status checks: https://csrc.nist.gov/pubs/ir/8596/iprd and https://cloudsecurityalliance.org/artifacts/ai-controls-matrix-v1-1. Checked 2 October 2026. Engineering and governance recommendations extend the reference model; exact formal requirements remain with the adopted sources and qualified owners.</w:t>
      </w:r>
    </w:p>
    <w:p>
      <w:pPr>
        <w:pStyle w:val="Heading1"/>
      </w:pPr>
      <w:r>
        <w:t>Appendix  Project kickoff checklist</w:t>
      </w:r>
    </w:p>
    <w:p>
      <w:pPr>
        <w:pStyle w:val="ListBullet"/>
      </w:pPr>
      <w:r>
        <w:t>System, sponsor, outcome, users, jurisdictions, criticality and solution pattern documented.</w:t>
      </w:r>
    </w:p>
    <w:p>
      <w:pPr>
        <w:pStyle w:val="ListBullet"/>
      </w:pPr>
      <w:r>
        <w:t>Working copy created and dates, predecessor logic, statuses and gates rebaselined.</w:t>
      </w:r>
    </w:p>
    <w:p>
      <w:pPr>
        <w:pStyle w:val="ListBullet"/>
      </w:pPr>
      <w:r>
        <w:t>Applicable tasks selected, adapted or excluded with task ID, rationale, owner and approval.</w:t>
      </w:r>
    </w:p>
    <w:p>
      <w:pPr>
        <w:pStyle w:val="ListBullet"/>
      </w:pPr>
      <w:r>
        <w:t>Provider actors and responsibilities reconciled among RACI, partner matrix and SSRM.</w:t>
      </w:r>
    </w:p>
    <w:p>
      <w:pPr>
        <w:pStyle w:val="ListBullet"/>
      </w:pPr>
      <w:r>
        <w:t>BOM seeded, provider assurance requested, source rights and trust assessed.</w:t>
      </w:r>
    </w:p>
    <w:p>
      <w:pPr>
        <w:pStyle w:val="ListBullet"/>
      </w:pPr>
      <w:r>
        <w:t>Framework applicability and source versions recorded; mandatory obligations reviewed by legal/compliance.</w:t>
      </w:r>
    </w:p>
    <w:p>
      <w:pPr>
        <w:pStyle w:val="ListBullet"/>
      </w:pPr>
      <w:r>
        <w:t>Evidence locations, gate approvers, exceptions and control effectiveness measures assigned.</w:t>
      </w:r>
    </w:p>
    <w:p>
      <w:pPr>
        <w:pStyle w:val="ListBullet"/>
      </w:pPr>
      <w:r>
        <w:t>Delivery backlog reconciled with the schedule and the next gate decision date confirmed.</w:t>
      </w:r>
    </w:p>
    <w:p>
      <w:pPr>
        <w:pStyle w:val="ListBullet"/>
      </w:pPr>
      <w:r>
        <w:t>Deployment justification, logical/deployment/governance choices, constraints, trust boundaries and Phase 0 gaps recorded separately.</w:t>
      </w:r>
    </w:p>
    <w:p>
      <w:pPr>
        <w:pStyle w:val="ListBullet"/>
      </w:pPr>
      <w:r>
        <w:t>Receiving-service identities/authority, delegation limits, human approvals and independent stop/revocation responsibilities defined for applicable services.</w:t>
      </w:r>
    </w:p>
    <w:p>
      <w:pPr>
        <w:pStyle w:val="ListBullet"/>
      </w:pPr>
      <w:r>
        <w:t>State/memory ownership, interrupted-workflow reconciliation, transition/rollback prerequisites and component/end-to-end test evidence prepared for the relevant gate.</w:t>
      </w:r>
    </w:p>
    <w:p>
      <w:pPr>
        <w:pStyle w:val="ListBullet"/>
      </w:pPr>
      <w:r>
        <w:t>Support/incident/recovery handoffs and operating-cost/performance criteria accepted before production; a pilot is not substituted for authorization.</w:t>
      </w:r>
    </w:p>
    <w:sectPr w:rsidR="00FC693F" w:rsidRPr="0006063C" w:rsidSect="00034616">
      <w:headerReference w:type="default" r:id="rId9"/>
      <w:footerReference w:type="default" r:id="rId10"/>
      <w:pgSz w:w="12240" w:h="15840"/>
      <w:pgMar w:top="1094" w:right="1238" w:bottom="1008" w:left="1238"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Implementation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6"/>
      </w:rPr>
      <w:t>Enterprise AI Implementation Reference Model  |  Version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6" w:lineRule="auto"/>
    </w:pPr>
    <w:rPr>
      <w:rFonts w:ascii="Aptos" w:hAnsi="Aptos"/>
      <w:color w:val="191F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w:hAnsi="Aptos"/>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0"/>
    </w:pPr>
    <w:rPr>
      <w:rFonts w:ascii="Aptos" w:hAnsi="Aptos"/>
      <w:color w:val="3C46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AI Implementation Reference Model Version 11 Implementation Guide</dc:title>
  <dc:subject/>
  <dc:creator>Raymond Wah</dc:creator>
  <cp:keywords/>
  <dc:description>generated by python-docx</dc:description>
  <cp:lastModifiedBy/>
  <cp:revision>1</cp:revision>
  <dcterms:created xsi:type="dcterms:W3CDTF">2013-12-23T23:15:00Z</dcterms:created>
  <dcterms:modified xsi:type="dcterms:W3CDTF">2013-12-23T23:15:00Z</dcterms:modified>
  <cp:category/>
</cp:coreProperties>
</file>