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56"/>
        </w:rPr>
        <w:t>Enterprise AI Implementation</w:t>
        <w:br/>
        <w:t>Reference Model</w:t>
      </w:r>
    </w:p>
    <w:p>
      <w:pPr>
        <w:jc w:val="center"/>
      </w:pPr>
      <w:r>
        <w:rPr>
          <w:b/>
          <w:color w:val="2F5597"/>
          <w:sz w:val="40"/>
        </w:rPr>
        <w:t>Version 9 to Version 10 Change Report</w:t>
      </w:r>
    </w:p>
    <w:p>
      <w:pPr>
        <w:spacing w:before="320"/>
        <w:jc w:val="center"/>
      </w:pPr>
      <w:r>
        <w:rPr>
          <w:sz w:val="24"/>
        </w:rPr>
        <w:t>Detailed explanation of model changes and standards source basis</w:t>
      </w:r>
    </w:p>
    <w:p>
      <w:pPr>
        <w:spacing w:before="800"/>
        <w:jc w:val="center"/>
      </w:pPr>
      <w:r>
        <w:rPr>
          <w:i/>
          <w:color w:val="595959"/>
          <w:sz w:val="20"/>
        </w:rPr>
        <w:t>Prepared from the Version 9 and Version 10 implementation workbooks and the attached NIST, Cloud Security Alliance, and EU Cyber Resilience Act source documents.</w:t>
      </w:r>
    </w:p>
    <w:p>
      <w:pPr>
        <w:spacing w:before="1600"/>
        <w:jc w:val="center"/>
      </w:pPr>
      <w:r>
        <w:rPr>
          <w:b/>
        </w:rPr>
        <w:t>September 2026</w:t>
      </w:r>
    </w:p>
    <w:p>
      <w:r>
        <w:br w:type="page"/>
      </w:r>
    </w:p>
    <w:p>
      <w:pPr>
        <w:pStyle w:val="Heading1"/>
      </w:pPr>
      <w:r>
        <w:t>1. Purpose and Scope</w:t>
      </w:r>
    </w:p>
    <w:p>
      <w:r>
        <w:t>This report documents the changes made to the Enterprise AI Implementation Reference Model between Version 9 and Version 10. It explains what changed, why each change was added, where the change appears in the workbook, and which standards or guidance sources support the change.</w:t>
      </w:r>
    </w:p>
    <w:p>
      <w:r>
        <w:t>Version 10 was intentionally designed as an incremental maturity upgrade rather than a structural rewrite. Version 9 already contained enterprise governance, AI risk, cybersecurity readiness, vendor assurance, data lifecycle, privacy, resilience, workflow engineering, regulatory traceability, and model experimentation. Version 10 therefore focuses on three remaining areas: (1) AI-specific cybersecurity traceability and shared responsibility, (2) explicit model development security, and (3) a conditional implementation path for AI-enabled cybersecurity defense.</w:t>
      </w:r>
    </w:p>
    <w:p>
      <w:pPr>
        <w:pStyle w:val="Callout"/>
      </w:pPr>
      <w:r>
        <w:rPr>
          <w:b/>
        </w:rPr>
        <w:t xml:space="preserve">Key design principle: </w:t>
      </w:r>
      <w:r>
        <w:t>NIST and CSA controls were integrated as traceability, assurance, responsibility, and targeted implementation requirements. They were not copied wholesale into the project schedule as hundreds of duplicate tasks.</w:t>
      </w:r>
    </w:p>
    <w:p>
      <w:pPr>
        <w:pStyle w:val="Heading1"/>
      </w:pPr>
      <w:r>
        <w:t>2. Executive Summary of the Version 10 Delta</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7365D"/>
            <w:vAlign w:val="top"/>
          </w:tcPr>
          <w:p>
            <w:pPr>
              <w:spacing w:after="40"/>
            </w:pPr>
            <w:r>
              <w:rPr>
                <w:rFonts w:ascii="Aptos" w:hAnsi="Aptos"/>
                <w:b/>
                <w:color w:val="FFFFFF"/>
                <w:sz w:val="17"/>
              </w:rPr>
              <w:t>Measure</w:t>
            </w:r>
          </w:p>
        </w:tc>
        <w:tc>
          <w:tcPr>
            <w:tcW w:type="dxa" w:w="2520"/>
            <w:shd w:fill="17365D"/>
            <w:vAlign w:val="top"/>
          </w:tcPr>
          <w:p>
            <w:pPr>
              <w:spacing w:after="40"/>
            </w:pPr>
            <w:r>
              <w:rPr>
                <w:rFonts w:ascii="Aptos" w:hAnsi="Aptos"/>
                <w:b/>
                <w:color w:val="FFFFFF"/>
                <w:sz w:val="17"/>
              </w:rPr>
              <w:t>Version 9</w:t>
            </w:r>
          </w:p>
        </w:tc>
        <w:tc>
          <w:tcPr>
            <w:tcW w:type="dxa" w:w="2520"/>
            <w:shd w:fill="17365D"/>
            <w:vAlign w:val="top"/>
          </w:tcPr>
          <w:p>
            <w:pPr>
              <w:spacing w:after="40"/>
            </w:pPr>
            <w:r>
              <w:rPr>
                <w:rFonts w:ascii="Aptos" w:hAnsi="Aptos"/>
                <w:b/>
                <w:color w:val="FFFFFF"/>
                <w:sz w:val="17"/>
              </w:rPr>
              <w:t>Version 10</w:t>
            </w:r>
          </w:p>
        </w:tc>
        <w:tc>
          <w:tcPr>
            <w:tcW w:type="dxa" w:w="2520"/>
            <w:shd w:fill="17365D"/>
            <w:vAlign w:val="top"/>
          </w:tcPr>
          <w:p>
            <w:pPr>
              <w:spacing w:after="40"/>
            </w:pPr>
            <w:r>
              <w:rPr>
                <w:rFonts w:ascii="Aptos" w:hAnsi="Aptos"/>
                <w:b/>
                <w:color w:val="FFFFFF"/>
                <w:sz w:val="17"/>
              </w:rPr>
              <w:t>Change</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Detailed implementation tasks</w:t>
            </w:r>
          </w:p>
        </w:tc>
        <w:tc>
          <w:tcPr>
            <w:tcW w:type="dxa" w:w="2520"/>
            <w:tcMar>
              <w:top w:w="80" w:type="dxa"/>
              <w:start w:w="100" w:type="dxa"/>
              <w:bottom w:w="80" w:type="dxa"/>
              <w:end w:w="100" w:type="dxa"/>
            </w:tcMar>
            <w:vAlign w:val="top"/>
          </w:tcPr>
          <w:p>
            <w:pPr>
              <w:spacing w:after="40"/>
            </w:pPr>
            <w:r>
              <w:rPr>
                <w:rFonts w:ascii="Aptos" w:hAnsi="Aptos"/>
                <w:sz w:val="17"/>
              </w:rPr>
              <w:t>426</w:t>
            </w:r>
          </w:p>
        </w:tc>
        <w:tc>
          <w:tcPr>
            <w:tcW w:type="dxa" w:w="2520"/>
            <w:tcMar>
              <w:top w:w="80" w:type="dxa"/>
              <w:start w:w="100" w:type="dxa"/>
              <w:bottom w:w="80" w:type="dxa"/>
              <w:end w:w="100" w:type="dxa"/>
            </w:tcMar>
            <w:vAlign w:val="top"/>
          </w:tcPr>
          <w:p>
            <w:pPr>
              <w:spacing w:after="40"/>
            </w:pPr>
            <w:r>
              <w:rPr>
                <w:rFonts w:ascii="Aptos" w:hAnsi="Aptos"/>
                <w:sz w:val="17"/>
              </w:rPr>
              <w:t>450</w:t>
            </w:r>
          </w:p>
        </w:tc>
        <w:tc>
          <w:tcPr>
            <w:tcW w:type="dxa" w:w="2520"/>
            <w:tcMar>
              <w:top w:w="80" w:type="dxa"/>
              <w:start w:w="100" w:type="dxa"/>
              <w:bottom w:w="80" w:type="dxa"/>
              <w:end w:w="100" w:type="dxa"/>
            </w:tcMar>
            <w:vAlign w:val="top"/>
          </w:tcPr>
          <w:p>
            <w:pPr>
              <w:spacing w:after="40"/>
            </w:pPr>
            <w:r>
              <w:rPr>
                <w:rFonts w:ascii="Aptos" w:hAnsi="Aptos"/>
                <w:sz w:val="17"/>
              </w:rPr>
              <w:t>+24 tasks</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Major phases / work packages</w:t>
            </w:r>
          </w:p>
        </w:tc>
        <w:tc>
          <w:tcPr>
            <w:tcW w:type="dxa" w:w="2520"/>
            <w:tcMar>
              <w:top w:w="80" w:type="dxa"/>
              <w:start w:w="100" w:type="dxa"/>
              <w:bottom w:w="80" w:type="dxa"/>
              <w:end w:w="100" w:type="dxa"/>
            </w:tcMar>
            <w:vAlign w:val="top"/>
          </w:tcPr>
          <w:p>
            <w:pPr>
              <w:spacing w:after="40"/>
            </w:pPr>
            <w:r>
              <w:rPr>
                <w:rFonts w:ascii="Aptos" w:hAnsi="Aptos"/>
                <w:sz w:val="17"/>
              </w:rPr>
              <w:t>25 (Phase 0-24)</w:t>
            </w:r>
          </w:p>
        </w:tc>
        <w:tc>
          <w:tcPr>
            <w:tcW w:type="dxa" w:w="2520"/>
            <w:tcMar>
              <w:top w:w="80" w:type="dxa"/>
              <w:start w:w="100" w:type="dxa"/>
              <w:bottom w:w="80" w:type="dxa"/>
              <w:end w:w="100" w:type="dxa"/>
            </w:tcMar>
            <w:vAlign w:val="top"/>
          </w:tcPr>
          <w:p>
            <w:pPr>
              <w:spacing w:after="40"/>
            </w:pPr>
            <w:r>
              <w:rPr>
                <w:rFonts w:ascii="Aptos" w:hAnsi="Aptos"/>
                <w:sz w:val="17"/>
              </w:rPr>
              <w:t>28 (Phase 0-27)</w:t>
            </w:r>
          </w:p>
        </w:tc>
        <w:tc>
          <w:tcPr>
            <w:tcW w:type="dxa" w:w="2520"/>
            <w:tcMar>
              <w:top w:w="80" w:type="dxa"/>
              <w:start w:w="100" w:type="dxa"/>
              <w:bottom w:w="80" w:type="dxa"/>
              <w:end w:w="100" w:type="dxa"/>
            </w:tcMar>
            <w:vAlign w:val="top"/>
          </w:tcPr>
          <w:p>
            <w:pPr>
              <w:spacing w:after="40"/>
            </w:pPr>
            <w:r>
              <w:rPr>
                <w:rFonts w:ascii="Aptos" w:hAnsi="Aptos"/>
                <w:sz w:val="17"/>
              </w:rPr>
              <w:t>+3 work packages</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New dedicated registers</w:t>
            </w:r>
          </w:p>
        </w:tc>
        <w:tc>
          <w:tcPr>
            <w:tcW w:type="dxa" w:w="2520"/>
            <w:tcMar>
              <w:top w:w="80" w:type="dxa"/>
              <w:start w:w="100" w:type="dxa"/>
              <w:bottom w:w="80" w:type="dxa"/>
              <w:end w:w="100" w:type="dxa"/>
            </w:tcMar>
            <w:vAlign w:val="top"/>
          </w:tcPr>
          <w:p>
            <w:pPr>
              <w:spacing w:after="40"/>
            </w:pPr>
            <w:r>
              <w:rPr>
                <w:rFonts w:ascii="Aptos" w:hAnsi="Aptos"/>
                <w:sz w:val="17"/>
              </w:rPr>
              <w:t>0</w:t>
            </w:r>
          </w:p>
        </w:tc>
        <w:tc>
          <w:tcPr>
            <w:tcW w:type="dxa" w:w="2520"/>
            <w:tcMar>
              <w:top w:w="80" w:type="dxa"/>
              <w:start w:w="100" w:type="dxa"/>
              <w:bottom w:w="80" w:type="dxa"/>
              <w:end w:w="100" w:type="dxa"/>
            </w:tcMar>
            <w:vAlign w:val="top"/>
          </w:tcPr>
          <w:p>
            <w:pPr>
              <w:spacing w:after="40"/>
            </w:pPr>
            <w:r>
              <w:rPr>
                <w:rFonts w:ascii="Aptos" w:hAnsi="Aptos"/>
                <w:sz w:val="17"/>
              </w:rPr>
              <w:t>3</w:t>
            </w:r>
          </w:p>
        </w:tc>
        <w:tc>
          <w:tcPr>
            <w:tcW w:type="dxa" w:w="2520"/>
            <w:tcMar>
              <w:top w:w="80" w:type="dxa"/>
              <w:start w:w="100" w:type="dxa"/>
              <w:bottom w:w="80" w:type="dxa"/>
              <w:end w:w="100" w:type="dxa"/>
            </w:tcMar>
            <w:vAlign w:val="top"/>
          </w:tcPr>
          <w:p>
            <w:pPr>
              <w:spacing w:after="40"/>
            </w:pPr>
            <w:r>
              <w:rPr>
                <w:rFonts w:ascii="Aptos" w:hAnsi="Aptos"/>
                <w:sz w:val="17"/>
              </w:rPr>
              <w:t>AI Supply Chain SSRM; AI System BOM; Control Effectiveness Metrics</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New framework integration</w:t>
            </w:r>
          </w:p>
        </w:tc>
        <w:tc>
          <w:tcPr>
            <w:tcW w:type="dxa" w:w="2520"/>
            <w:tcMar>
              <w:top w:w="80" w:type="dxa"/>
              <w:start w:w="100" w:type="dxa"/>
              <w:bottom w:w="80" w:type="dxa"/>
              <w:end w:w="100" w:type="dxa"/>
            </w:tcMar>
            <w:vAlign w:val="top"/>
          </w:tcPr>
          <w:p>
            <w:pPr>
              <w:spacing w:after="40"/>
            </w:pPr>
            <w:r>
              <w:rPr>
                <w:rFonts w:ascii="Aptos" w:hAnsi="Aptos"/>
                <w:sz w:val="17"/>
              </w:rPr>
              <w:t>NIST AI RMF, NIST CSF 2.0, ISO/IEC 42001, EU AI Act, DORA, etc.</w:t>
            </w:r>
          </w:p>
        </w:tc>
        <w:tc>
          <w:tcPr>
            <w:tcW w:type="dxa" w:w="2520"/>
            <w:tcMar>
              <w:top w:w="80" w:type="dxa"/>
              <w:start w:w="100" w:type="dxa"/>
              <w:bottom w:w="80" w:type="dxa"/>
              <w:end w:w="100" w:type="dxa"/>
            </w:tcMar>
            <w:vAlign w:val="top"/>
          </w:tcPr>
          <w:p>
            <w:pPr>
              <w:spacing w:after="40"/>
            </w:pPr>
            <w:r>
              <w:rPr>
                <w:rFonts w:ascii="Aptos" w:hAnsi="Aptos"/>
                <w:sz w:val="17"/>
              </w:rPr>
              <w:t>Adds NIST Cyber AI Profile, CSA AICM v1.1.1, CSA CCM v4.1, EU CRA</w:t>
            </w:r>
          </w:p>
        </w:tc>
        <w:tc>
          <w:tcPr>
            <w:tcW w:type="dxa" w:w="2520"/>
            <w:tcMar>
              <w:top w:w="80" w:type="dxa"/>
              <w:start w:w="100" w:type="dxa"/>
              <w:bottom w:w="80" w:type="dxa"/>
              <w:end w:w="100" w:type="dxa"/>
            </w:tcMar>
            <w:vAlign w:val="top"/>
          </w:tcPr>
          <w:p>
            <w:pPr>
              <w:spacing w:after="40"/>
            </w:pPr>
            <w:r>
              <w:rPr>
                <w:rFonts w:ascii="Aptos" w:hAnsi="Aptos"/>
                <w:sz w:val="17"/>
              </w:rPr>
              <w:t>Expanded AI-security and product-cybersecurity traceability</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Model security</w:t>
            </w:r>
          </w:p>
        </w:tc>
        <w:tc>
          <w:tcPr>
            <w:tcW w:type="dxa" w:w="2520"/>
            <w:tcMar>
              <w:top w:w="80" w:type="dxa"/>
              <w:start w:w="100" w:type="dxa"/>
              <w:bottom w:w="80" w:type="dxa"/>
              <w:end w:w="100" w:type="dxa"/>
            </w:tcMar>
            <w:vAlign w:val="top"/>
          </w:tcPr>
          <w:p>
            <w:pPr>
              <w:spacing w:after="40"/>
            </w:pPr>
            <w:r>
              <w:rPr>
                <w:rFonts w:ascii="Aptos" w:hAnsi="Aptos"/>
                <w:sz w:val="17"/>
              </w:rPr>
              <w:t>Embedded in broader security/model experimentation</w:t>
            </w:r>
          </w:p>
        </w:tc>
        <w:tc>
          <w:tcPr>
            <w:tcW w:type="dxa" w:w="2520"/>
            <w:tcMar>
              <w:top w:w="80" w:type="dxa"/>
              <w:start w:w="100" w:type="dxa"/>
              <w:bottom w:w="80" w:type="dxa"/>
              <w:end w:w="100" w:type="dxa"/>
            </w:tcMar>
            <w:vAlign w:val="top"/>
          </w:tcPr>
          <w:p>
            <w:pPr>
              <w:spacing w:after="40"/>
            </w:pPr>
            <w:r>
              <w:rPr>
                <w:rFonts w:ascii="Aptos" w:hAnsi="Aptos"/>
                <w:sz w:val="17"/>
              </w:rPr>
              <w:t>Dedicated Model Development Security work package</w:t>
            </w:r>
          </w:p>
        </w:tc>
        <w:tc>
          <w:tcPr>
            <w:tcW w:type="dxa" w:w="2520"/>
            <w:tcMar>
              <w:top w:w="80" w:type="dxa"/>
              <w:start w:w="100" w:type="dxa"/>
              <w:bottom w:w="80" w:type="dxa"/>
              <w:end w:w="100" w:type="dxa"/>
            </w:tcMar>
            <w:vAlign w:val="top"/>
          </w:tcPr>
          <w:p>
            <w:pPr>
              <w:spacing w:after="40"/>
            </w:pPr>
            <w:r>
              <w:rPr>
                <w:rFonts w:ascii="Aptos" w:hAnsi="Aptos"/>
                <w:sz w:val="17"/>
              </w:rPr>
              <w:t>Explicit MDS-aligned model pipeline/artifact controls</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AI used for cyber defense</w:t>
            </w:r>
          </w:p>
        </w:tc>
        <w:tc>
          <w:tcPr>
            <w:tcW w:type="dxa" w:w="2520"/>
            <w:tcMar>
              <w:top w:w="80" w:type="dxa"/>
              <w:start w:w="100" w:type="dxa"/>
              <w:bottom w:w="80" w:type="dxa"/>
              <w:end w:w="100" w:type="dxa"/>
            </w:tcMar>
            <w:vAlign w:val="top"/>
          </w:tcPr>
          <w:p>
            <w:pPr>
              <w:spacing w:after="40"/>
            </w:pPr>
            <w:r>
              <w:rPr>
                <w:rFonts w:ascii="Aptos" w:hAnsi="Aptos"/>
                <w:sz w:val="17"/>
              </w:rPr>
              <w:t>Not a dedicated implementation lane</w:t>
            </w:r>
          </w:p>
        </w:tc>
        <w:tc>
          <w:tcPr>
            <w:tcW w:type="dxa" w:w="2520"/>
            <w:tcMar>
              <w:top w:w="80" w:type="dxa"/>
              <w:start w:w="100" w:type="dxa"/>
              <w:bottom w:w="80" w:type="dxa"/>
              <w:end w:w="100" w:type="dxa"/>
            </w:tcMar>
            <w:vAlign w:val="top"/>
          </w:tcPr>
          <w:p>
            <w:pPr>
              <w:spacing w:after="40"/>
            </w:pPr>
            <w:r>
              <w:rPr>
                <w:rFonts w:ascii="Aptos" w:hAnsi="Aptos"/>
                <w:sz w:val="17"/>
              </w:rPr>
              <w:t>Conditional Phase 27</w:t>
            </w:r>
          </w:p>
        </w:tc>
        <w:tc>
          <w:tcPr>
            <w:tcW w:type="dxa" w:w="2520"/>
            <w:tcMar>
              <w:top w:w="80" w:type="dxa"/>
              <w:start w:w="100" w:type="dxa"/>
              <w:bottom w:w="80" w:type="dxa"/>
              <w:end w:w="100" w:type="dxa"/>
            </w:tcMar>
            <w:vAlign w:val="top"/>
          </w:tcPr>
          <w:p>
            <w:pPr>
              <w:spacing w:after="40"/>
            </w:pPr>
            <w:r>
              <w:rPr>
                <w:rFonts w:ascii="Aptos" w:hAnsi="Aptos"/>
                <w:sz w:val="17"/>
              </w:rPr>
              <w:t>NIST Defend-aligned work package</w:t>
            </w:r>
          </w:p>
        </w:tc>
      </w:tr>
    </w:tbl>
    <w:p>
      <w:r>
        <w:t>The 24 new tasks are grouped as follows:</w:t>
      </w:r>
    </w:p>
    <w:p>
      <w:pPr>
        <w:pStyle w:val="ListBullet"/>
      </w:pPr>
      <w:r>
        <w:t>Phase 25 - AI Security Assurance &amp; Framework Integration: T427-T434 (8 tasks).</w:t>
      </w:r>
    </w:p>
    <w:p>
      <w:pPr>
        <w:pStyle w:val="ListBullet"/>
      </w:pPr>
      <w:r>
        <w:t>Phase 26 - Model Development Security: T435-T443 (9 tasks).</w:t>
      </w:r>
    </w:p>
    <w:p>
      <w:pPr>
        <w:pStyle w:val="ListBullet"/>
      </w:pPr>
      <w:r>
        <w:t>Phase 27 - AI-Enabled Cyber Defense (Conditional): T444-T450 (7 tasks).</w:t>
      </w:r>
    </w:p>
    <w:p>
      <w:pPr>
        <w:pStyle w:val="Heading1"/>
      </w:pPr>
      <w:r>
        <w:t>3. Standards Sources Used for Version 10</w:t>
      </w:r>
    </w:p>
    <w:p>
      <w:r>
        <w:rPr>
          <w:b/>
          <w:color w:val="17365D"/>
        </w:rPr>
        <w:t>S1. NIST IR 8596 iprd - Cybersecurity Framework Profile for Artificial Intelligence (Cyber AI Profile), Initial Preliminary Draft, December 2025</w:t>
      </w:r>
    </w:p>
    <w:p>
      <w:r>
        <w:t>Primary source for the Secure / Defend / Thwart construct, CSF 2.0 AI-specific prioritization, AI supply-chain considerations, AI-enabled attack considerations, and the conditional AI-enabled cyber-defense work package.</w:t>
      </w:r>
    </w:p>
    <w:p>
      <w:pPr>
        <w:pStyle w:val="SourceNote"/>
      </w:pPr>
      <w:hyperlink r:id="rId11">
        <w:r>
          <w:rPr>
            <w:color w:val="0563C1"/>
            <w:u w:val="single"/>
          </w:rPr>
          <w:t>https://doi.org/10.6028/NIST.IR.8596.iprd</w:t>
        </w:r>
      </w:hyperlink>
    </w:p>
    <w:p>
      <w:r>
        <w:rPr>
          <w:b/>
          <w:color w:val="17365D"/>
        </w:rPr>
        <w:t>S2. Cloud Security Alliance - AI Controls Matrix (AICM) v1.1.1 and Introductory Guidance to AICM v1.1 (2026)</w:t>
      </w:r>
    </w:p>
    <w:p>
      <w:r>
        <w:t>Primary source for AI-specific control traceability, five-actor Shared Security Responsibility Model (CSP/MP/OSP/AP/AIC), AI-CAIQ use, 18-domain/247-control structure, and the Model Security (MDS) domain.</w:t>
      </w:r>
    </w:p>
    <w:p>
      <w:pPr>
        <w:pStyle w:val="SourceNote"/>
      </w:pPr>
      <w:hyperlink r:id="rId12">
        <w:r>
          <w:rPr>
            <w:color w:val="0563C1"/>
            <w:u w:val="single"/>
          </w:rPr>
          <w:t>https://cloudsecurityalliance.org/artifacts/ai-controls-matrix-v1-1</w:t>
        </w:r>
      </w:hyperlink>
    </w:p>
    <w:p>
      <w:r>
        <w:rPr>
          <w:b/>
          <w:color w:val="17365D"/>
        </w:rPr>
        <w:t>S3. Cloud Security Alliance - Cloud Controls Matrix (CCM) v4.1.0 and CCM v4.1 Implementation Guidelines v2.1 (2026)</w:t>
      </w:r>
    </w:p>
    <w:p>
      <w:r>
        <w:t>Primary source for cloud shared-responsibility concepts, CAIQ, supply-chain/BOM practices, and the use of security metrics to evaluate control implementation and enable continuous assurance.</w:t>
      </w:r>
    </w:p>
    <w:p>
      <w:pPr>
        <w:pStyle w:val="SourceNote"/>
      </w:pPr>
      <w:hyperlink r:id="rId13">
        <w:r>
          <w:rPr>
            <w:color w:val="0563C1"/>
            <w:u w:val="single"/>
          </w:rPr>
          <w:t>https://cloudsecurityalliance.org/research/cloud-controls-matrix</w:t>
        </w:r>
      </w:hyperlink>
    </w:p>
    <w:p>
      <w:r>
        <w:rPr>
          <w:b/>
          <w:color w:val="17365D"/>
        </w:rPr>
        <w:t>S4. Regulation (EU) 2024/2847 - Cyber Resilience Act</w:t>
      </w:r>
    </w:p>
    <w:p>
      <w:r>
        <w:t>Source for the conditional product-with-digital-elements applicability assessment, third-party component due diligence, vulnerability handling, support/security updates, SBOM concepts, conformity evidence, and secure decommissioning considerations.</w:t>
      </w:r>
    </w:p>
    <w:p>
      <w:pPr>
        <w:pStyle w:val="SourceNote"/>
      </w:pPr>
      <w:hyperlink r:id="rId14">
        <w:r>
          <w:rPr>
            <w:color w:val="0563C1"/>
            <w:u w:val="single"/>
          </w:rPr>
          <w:t>https://eur-lex.europa.eu/eli/reg/2024/2847/oj</w:t>
        </w:r>
      </w:hyperlink>
    </w:p>
    <w:p>
      <w:pPr>
        <w:pStyle w:val="SourceNote"/>
      </w:pPr>
      <w:r>
        <w:rPr>
          <w:b/>
        </w:rPr>
        <w:t xml:space="preserve">Draft-status caveat: </w:t>
      </w:r>
      <w:r>
        <w:t>NIST IR 8596 is an Initial Preliminary Draft, not a final standard. Version 10 records that status and includes a planning assumption to revalidate the mapping when NIST publishes a materially revised draft or final version.</w:t>
      </w:r>
    </w:p>
    <w:p>
      <w:pPr>
        <w:pStyle w:val="Heading1"/>
      </w:pPr>
      <w:r>
        <w:t>4. New Phase 25 - AI Security Assurance &amp; Framework Integration (T427-T434)</w:t>
      </w:r>
    </w:p>
    <w:p>
      <w:r>
        <w:t>Phase 25 adds the assurance and traceability layer that was not explicit in Version 9. The purpose is to connect AI-security standards to the existing implementation schedule without duplicating the work already present in the model.</w:t>
      </w:r>
    </w:p>
    <w:p>
      <w:pPr>
        <w:pStyle w:val="Heading2"/>
      </w:pPr>
      <w:r>
        <w:t>T427 - Map NIST Cyber AI Profile Secure / Defend / Thwart outcomes</w:t>
      </w:r>
    </w:p>
    <w:p>
      <w:r>
        <w:t>Adds a structured mapping from NIST IR 8596 to existing/new tasks, owners, evidence, and proposed priority. This turns generic NIST CSF 2.0 alignment in Version 9 into an AI-specific cybersecurity profile.</w:t>
      </w:r>
    </w:p>
    <w:p>
      <w:pPr>
        <w:pStyle w:val="SourceNote"/>
      </w:pPr>
      <w:r>
        <w:rPr>
          <w:b/>
        </w:rPr>
        <w:t xml:space="preserve">Source basis: </w:t>
      </w:r>
      <w:r>
        <w:t>S1: Executive Summary and Section 2.1 identify Secure, Defend, and Thwart; the profile is organized by CSF 2.0 functions/categories/subcategories and proposed priorities.</w:t>
      </w:r>
    </w:p>
    <w:p>
      <w:pPr>
        <w:pStyle w:val="Heading2"/>
      </w:pPr>
      <w:r>
        <w:t>T428 - Assess CSA AICM v1.1 and CCM v4.1 applicability</w:t>
      </w:r>
    </w:p>
    <w:p>
      <w:r>
        <w:t>Introduces control-level applicability and traceability for AI and cloud security. The model distinguishes AI-specific, cloud/AI-related, and cloud-specific controls and maps them to implementation work rather than creating duplicate project tasks.</w:t>
      </w:r>
    </w:p>
    <w:p>
      <w:pPr>
        <w:pStyle w:val="SourceNote"/>
      </w:pPr>
      <w:r>
        <w:rPr>
          <w:b/>
        </w:rPr>
        <w:t xml:space="preserve">Source basis: </w:t>
      </w:r>
      <w:r>
        <w:t>S2: AICM v1.1 provides 247 controls across 18 domains and lifecycle/threat/actor metadata. S3: CCM v4.1 provides 207 controls across 17 cloud-security domains and control applicability/ownership matrices.</w:t>
      </w:r>
    </w:p>
    <w:p>
      <w:pPr>
        <w:pStyle w:val="Heading2"/>
      </w:pPr>
      <w:r>
        <w:t>T429 - Establish AI supply-chain Shared Security Responsibility Model</w:t>
      </w:r>
    </w:p>
    <w:p>
      <w:r>
        <w:t>Adds explicit responsibility allocation across CSP, Model Provider, Orchestrated Service Provider, Application Provider, and AI Customer. This supplements the existing partner RACI with an AI-stack-specific responsibility model.</w:t>
      </w:r>
    </w:p>
    <w:p>
      <w:pPr>
        <w:pStyle w:val="SourceNote"/>
      </w:pPr>
      <w:r>
        <w:rPr>
          <w:b/>
        </w:rPr>
        <w:t xml:space="preserve">Source basis: </w:t>
      </w:r>
      <w:r>
        <w:t>S2: AICM SSRM explicitly delineates CSP, MP, OSP, AP, and AIC responsibilities and supports owned/shared control designations.</w:t>
      </w:r>
    </w:p>
    <w:p>
      <w:pPr>
        <w:pStyle w:val="Heading2"/>
      </w:pPr>
      <w:r>
        <w:t>T430 - Integrate AI-CAIQ / CAIQ or equivalent into vendor due diligence</w:t>
      </w:r>
    </w:p>
    <w:p>
      <w:r>
        <w:t>Strengthens Version 9 vendor assurance by requiring available provider control responses, customer responsibility disclosures, attestations, or an equivalent internal assessment. Gaps are routed to remediation, contract terms, or risk acceptance.</w:t>
      </w:r>
    </w:p>
    <w:p>
      <w:pPr>
        <w:pStyle w:val="SourceNote"/>
      </w:pPr>
      <w:r>
        <w:rPr>
          <w:b/>
        </w:rPr>
        <w:t xml:space="preserve">Source basis: </w:t>
      </w:r>
      <w:r>
        <w:t>S2: AICM is designed for use with AI-CAIQ and STAR for AI. S3: CCM uses CAIQ to evaluate provider security posture and shared responsibilities.</w:t>
      </w:r>
    </w:p>
    <w:p>
      <w:pPr>
        <w:pStyle w:val="Heading2"/>
      </w:pPr>
      <w:r>
        <w:t>T431 - Create an AI System Bill of Materials / dependency manifest</w:t>
      </w:r>
    </w:p>
    <w:p>
      <w:r>
        <w:t>Extends the Version 9 software supply-chain inventory into a broader AI-system dependency view: models, embeddings, orchestration, agents, prompts/policies, tools, APIs, libraries, containers, vector stores, knowledge sources, cloud services, regions, and security services.</w:t>
      </w:r>
    </w:p>
    <w:p>
      <w:pPr>
        <w:pStyle w:val="SourceNote"/>
      </w:pPr>
      <w:r>
        <w:rPr>
          <w:b/>
        </w:rPr>
        <w:t xml:space="preserve">Source basis: </w:t>
      </w:r>
      <w:r>
        <w:t>S3: CCM supply-chain guidance explicitly describes service BOM scope including third-party services, open-source libraries, APIs, SDKs, runtimes, infrastructure dependencies, versions, suppliers, criticality, vulnerabilities, and change tracking. S4 reinforces SBOM/component documentation for products with digital elements.</w:t>
      </w:r>
    </w:p>
    <w:p>
      <w:pPr>
        <w:pStyle w:val="Heading2"/>
      </w:pPr>
      <w:r>
        <w:t>T432 - Define control-effectiveness metrics, thresholds, cadence, and evidence-aging</w:t>
      </w:r>
    </w:p>
    <w:p>
      <w:r>
        <w:t>Moves the model from evidence presence to operating-effectiveness measurement. Critical controls can now have a metric/test, target, evidence source, owner, cadence, freshness limit, and escalation path.</w:t>
      </w:r>
    </w:p>
    <w:p>
      <w:pPr>
        <w:pStyle w:val="SourceNote"/>
      </w:pPr>
      <w:r>
        <w:rPr>
          <w:b/>
        </w:rPr>
        <w:t xml:space="preserve">Source basis: </w:t>
      </w:r>
      <w:r>
        <w:t>S3: CCM Continuous Audit Metrics guidance describes metrics as a way to measure control effectiveness, increase maturity, transparency, accountability, and continuous compliance.</w:t>
      </w:r>
    </w:p>
    <w:p>
      <w:pPr>
        <w:pStyle w:val="Heading2"/>
      </w:pPr>
      <w:r>
        <w:t>T433 - Expand threat model for AI-enabled adversary capabilities</w:t>
      </w:r>
    </w:p>
    <w:p>
      <w:r>
        <w:t>Adds AI-enabled phishing/deepfakes, malicious content generation, accelerated vulnerability discovery, AI-assisted malware/obfuscation, autonomous reconnaissance/exploitation, credential harvesting, lateral movement, and data collection to threat scenarios, awareness, detection, and incident criteria.</w:t>
      </w:r>
    </w:p>
    <w:p>
      <w:pPr>
        <w:pStyle w:val="SourceNote"/>
      </w:pPr>
      <w:r>
        <w:rPr>
          <w:b/>
        </w:rPr>
        <w:t xml:space="preserve">Source basis: </w:t>
      </w:r>
      <w:r>
        <w:t>S1: Thwart focus area describes AI-enabled attacks, including speed/scale, deepfakes, malicious websites, malware obfuscation, and agents autonomously orchestrating reconnaissance, exploitation, credential harvesting, lateral movement, and data collection.</w:t>
      </w:r>
    </w:p>
    <w:p>
      <w:pPr>
        <w:pStyle w:val="Heading2"/>
      </w:pPr>
      <w:r>
        <w:t>T434 - Assess EU Cyber Resilience Act applicability</w:t>
      </w:r>
    </w:p>
    <w:p>
      <w:r>
        <w:t>Adds a conditional product-cybersecurity assessment for AI-enabled products with digital elements placed on the EU market. The task is not applied to every enterprise AI deployment.</w:t>
      </w:r>
    </w:p>
    <w:p>
      <w:pPr>
        <w:pStyle w:val="SourceNote"/>
      </w:pPr>
      <w:r>
        <w:rPr>
          <w:b/>
        </w:rPr>
        <w:t xml:space="preserve">Source basis: </w:t>
      </w:r>
      <w:r>
        <w:t>S4: CRA establishes lifecycle cybersecurity for products with digital elements, third-party component due diligence, vulnerability handling, security updates/support periods, SBOM, conformity documentation, and secure decommissioning requirements.</w:t>
      </w:r>
    </w:p>
    <w:p>
      <w:pPr>
        <w:pStyle w:val="Heading1"/>
      </w:pPr>
      <w:r>
        <w:t>5. New Phase 26 - Model Development Security (T435-T443)</w:t>
      </w:r>
    </w:p>
    <w:p>
      <w:r>
        <w:t>Version 9 had a strong model experimentation and evaluation lane (T403-T426), but it primarily addressed model selection, reproducibility, quality, robustness, fairness, performance, independent validation, and go/no-go decisions. Version 10 separates model security from model quality. The new work package asks whether the model-development pipeline and artifacts themselves can be trusted, protected, and verified.</w:t>
      </w:r>
    </w:p>
    <w:p>
      <w:pPr>
        <w:pStyle w:val="Callout"/>
      </w:pPr>
      <w:r>
        <w:rPr>
          <w:b/>
        </w:rPr>
        <w:t xml:space="preserve">CSA source anchor: </w:t>
      </w:r>
      <w:r>
        <w:t>AICM v1.1 adds a Model Security / Model Development Security domain with 13 controls (MDS-01 through MDS-13) covering training pipeline security, artifact scanning, documentation, adversarial analysis, model hardening, integrity checks, signing, monitoring, model failure, open-model risk, and secure model formats.</w:t>
      </w:r>
    </w:p>
    <w:p>
      <w:pPr>
        <w:pStyle w:val="Heading2"/>
      </w:pPr>
      <w:r>
        <w:t>T435 - Secure model training, fine-tuning, and evaluation pipeline</w:t>
      </w:r>
    </w:p>
    <w:p>
      <w:r>
        <w:t>Adds pipeline isolation, access control, dependency integrity, secrets handling, change control, logging, and protected artifact handoffs.</w:t>
      </w:r>
    </w:p>
    <w:p>
      <w:pPr>
        <w:pStyle w:val="SourceNote"/>
      </w:pPr>
      <w:r>
        <w:rPr>
          <w:b/>
        </w:rPr>
        <w:t xml:space="preserve">Primary CSA control basis: </w:t>
      </w:r>
      <w:r>
        <w:t>MDS-01 [S2].</w:t>
      </w:r>
    </w:p>
    <w:p>
      <w:pPr>
        <w:pStyle w:val="Heading2"/>
      </w:pPr>
      <w:r>
        <w:t>T436 - Scan model artifacts and handoff packages</w:t>
      </w:r>
    </w:p>
    <w:p>
      <w:r>
        <w:t>Adds risk-based inspection/scanning at creation, storage, transfer, deployment, and handoff; includes unsafe model serialization risk.</w:t>
      </w:r>
    </w:p>
    <w:p>
      <w:pPr>
        <w:pStyle w:val="SourceNote"/>
      </w:pPr>
      <w:r>
        <w:rPr>
          <w:b/>
        </w:rPr>
        <w:t xml:space="preserve">Primary CSA control basis: </w:t>
      </w:r>
      <w:r>
        <w:t>MDS-02 and MDS-13 [S2].</w:t>
      </w:r>
    </w:p>
    <w:p>
      <w:pPr>
        <w:pStyle w:val="Heading2"/>
      </w:pPr>
      <w:r>
        <w:t>T437 - Verify model-influencing data integrity and data-poisoning response</w:t>
      </w:r>
    </w:p>
    <w:p>
      <w:r>
        <w:t>Connects data lineage/provenance to model security and establishes integrity checks and response for training, fine-tuning, evaluation, RAG, and other model-influencing data.</w:t>
      </w:r>
    </w:p>
    <w:p>
      <w:pPr>
        <w:pStyle w:val="SourceNote"/>
      </w:pPr>
      <w:r>
        <w:rPr>
          <w:b/>
        </w:rPr>
        <w:t xml:space="preserve">Primary CSA control basis: </w:t>
      </w:r>
      <w:r>
        <w:t>AICM data-poisoning threat category + NIST Secure [S2].</w:t>
      </w:r>
    </w:p>
    <w:p>
      <w:pPr>
        <w:pStyle w:val="Heading2"/>
      </w:pPr>
      <w:r>
        <w:t>T438 - Implement model integrity checks, signing, ownership verification, and provenance</w:t>
      </w:r>
    </w:p>
    <w:p>
      <w:r>
        <w:t>Adds hashes/checksums and, where supported, cryptographic model signing and signature verification across storage, transfer, promotion, and deployment.</w:t>
      </w:r>
    </w:p>
    <w:p>
      <w:pPr>
        <w:pStyle w:val="SourceNote"/>
      </w:pPr>
      <w:r>
        <w:rPr>
          <w:b/>
        </w:rPr>
        <w:t xml:space="preserve">Primary CSA control basis: </w:t>
      </w:r>
      <w:r>
        <w:t>MDS-08 and MDS-09 [S2].</w:t>
      </w:r>
    </w:p>
    <w:p>
      <w:pPr>
        <w:pStyle w:val="Heading2"/>
      </w:pPr>
      <w:r>
        <w:t>T439 - Harden model repositories and restrict model-artifact authority</w:t>
      </w:r>
    </w:p>
    <w:p>
      <w:r>
        <w:t>Applies least privilege, segregation of duties, strong identity, protected promotion paths, immutable/auditable history, and privileged access monitoring to model repositories and checkpoints.</w:t>
      </w:r>
    </w:p>
    <w:p>
      <w:pPr>
        <w:pStyle w:val="SourceNote"/>
      </w:pPr>
      <w:r>
        <w:rPr>
          <w:b/>
        </w:rPr>
        <w:t xml:space="preserve">Primary CSA control basis: </w:t>
      </w:r>
      <w:r>
        <w:t>AICM IAM + MDS [S2].</w:t>
      </w:r>
    </w:p>
    <w:p>
      <w:pPr>
        <w:pStyle w:val="Heading2"/>
      </w:pPr>
      <w:r>
        <w:t>T440 - Perform model-specific adversarial threat analysis</w:t>
      </w:r>
    </w:p>
    <w:p>
      <w:r>
        <w:t>Adds analysis of extraction/theft, inversion/membership inference, evasion, model/prompt manipulation, and model-serving interface abuse.</w:t>
      </w:r>
    </w:p>
    <w:p>
      <w:pPr>
        <w:pStyle w:val="SourceNote"/>
      </w:pPr>
      <w:r>
        <w:rPr>
          <w:b/>
        </w:rPr>
        <w:t xml:space="preserve">Primary CSA control basis: </w:t>
      </w:r>
      <w:r>
        <w:t>MDS-06 [S2].</w:t>
      </w:r>
    </w:p>
    <w:p>
      <w:pPr>
        <w:pStyle w:val="Heading2"/>
      </w:pPr>
      <w:r>
        <w:t>T441 - Implement model hardening and validate adversarial robustness</w:t>
      </w:r>
    </w:p>
    <w:p>
      <w:r>
        <w:t>Requires risk-prioritized hardening plus adversarial/stress testing and documentation of security/performance tradeoffs.</w:t>
      </w:r>
    </w:p>
    <w:p>
      <w:pPr>
        <w:pStyle w:val="SourceNote"/>
      </w:pPr>
      <w:r>
        <w:rPr>
          <w:b/>
        </w:rPr>
        <w:t xml:space="preserve">Primary CSA control basis: </w:t>
      </w:r>
      <w:r>
        <w:t>MDS-07 [S2].</w:t>
      </w:r>
    </w:p>
    <w:p>
      <w:pPr>
        <w:pStyle w:val="Heading2"/>
      </w:pPr>
      <w:r>
        <w:t>T442 - Validate secure model format, dependencies, and release integrity</w:t>
      </w:r>
    </w:p>
    <w:p>
      <w:r>
        <w:t>Creates a release-integrity gate linking model format, scan results, dependencies, integrity evidence, documentation, and authorized promotion.</w:t>
      </w:r>
    </w:p>
    <w:p>
      <w:pPr>
        <w:pStyle w:val="SourceNote"/>
      </w:pPr>
      <w:r>
        <w:rPr>
          <w:b/>
        </w:rPr>
        <w:t xml:space="preserve">Primary CSA control basis: </w:t>
      </w:r>
      <w:r>
        <w:t>MDS-02, MDS-03 through MDS-05, MDS-13 [S2].</w:t>
      </w:r>
    </w:p>
    <w:p>
      <w:pPr>
        <w:pStyle w:val="Heading2"/>
      </w:pPr>
      <w:r>
        <w:t>T443 - Establish model security monitoring, failure response, open-model review, and retirement</w:t>
      </w:r>
    </w:p>
    <w:p>
      <w:r>
        <w:t>Adds ongoing model-security anomaly/failure monitoring, open-model risk review, rollback/replacement, and secure retirement/disposal.</w:t>
      </w:r>
    </w:p>
    <w:p>
      <w:pPr>
        <w:pStyle w:val="SourceNote"/>
      </w:pPr>
      <w:r>
        <w:rPr>
          <w:b/>
        </w:rPr>
        <w:t xml:space="preserve">Primary CSA control basis: </w:t>
      </w:r>
      <w:r>
        <w:t>MDS-10, MDS-11, MDS-12 + lifecycle [S2].</w:t>
      </w:r>
    </w:p>
    <w:p>
      <w:pPr>
        <w:pStyle w:val="Heading1"/>
      </w:pPr>
      <w:r>
        <w:t>6. New Phase 27 - AI-Enabled Cyber Defense (Conditional) (T444-T450)</w:t>
      </w:r>
    </w:p>
    <w:p>
      <w:r>
        <w:t>NIST IR 8596 treats the use of AI for cybersecurity defense as a distinct focus area (Defend). Version 9 had extensive cybersecurity controls but did not contain a dedicated implementation lane for organizations that use AI in SOC, threat detection, incident response, security analytics, or autonomous defensive actions. Version 10 adds this lane but marks it conditional so ordinary business AI implementations are not forced through irrelevant SOC-AI activities.</w:t>
      </w:r>
    </w:p>
    <w:p>
      <w:pPr>
        <w:pStyle w:val="Heading2"/>
      </w:pPr>
      <w:r>
        <w:t>T444 - Assess and prioritize AI-enabled cybersecurity defense use cases</w:t>
      </w:r>
    </w:p>
    <w:p>
      <w:r>
        <w:t>Identifies appropriate opportunities such as alert triage, anomaly detection, threat-intelligence analysis, vulnerability/code analysis, recovery prioritization, and agent-based defense.</w:t>
      </w:r>
    </w:p>
    <w:p>
      <w:pPr>
        <w:pStyle w:val="SourceNote"/>
      </w:pPr>
      <w:r>
        <w:rPr>
          <w:b/>
        </w:rPr>
        <w:t xml:space="preserve">Source basis: </w:t>
      </w:r>
      <w:r>
        <w:t>S1 Defend examples include alert prioritization, threat analysis, policy/compliance support, risk communication, recovery planning, and agent-based AI defense.</w:t>
      </w:r>
    </w:p>
    <w:p>
      <w:pPr>
        <w:pStyle w:val="Heading2"/>
      </w:pPr>
      <w:r>
        <w:t>T445 - Define human oversight and permitted autonomous defensive actions</w:t>
      </w:r>
    </w:p>
    <w:p>
      <w:r>
        <w:t>Establishes which actions may be automated, which require analyst approval, escalation/kill-switch criteria, least-privilege action scope, and fallback to conventional security operations.</w:t>
      </w:r>
    </w:p>
    <w:p>
      <w:pPr>
        <w:pStyle w:val="SourceNote"/>
      </w:pPr>
      <w:r>
        <w:rPr>
          <w:b/>
        </w:rPr>
        <w:t xml:space="preserve">Source basis: </w:t>
      </w:r>
      <w:r>
        <w:t>S1 notes opportunities for automated incident response and agent-based defense; Version 10 applies the model's existing runtime authorization principles to defensive AI.</w:t>
      </w:r>
    </w:p>
    <w:p>
      <w:pPr>
        <w:pStyle w:val="Heading2"/>
      </w:pPr>
      <w:r>
        <w:t>T446 - Validate defensive AI detection quality and analyst decision support</w:t>
      </w:r>
    </w:p>
    <w:p>
      <w:r>
        <w:t>Requires use-case-specific FP/FN, precision/recall or equivalent decision-quality measures, timeliness, analyst utility, and failure-mode analysis.</w:t>
      </w:r>
    </w:p>
    <w:p>
      <w:pPr>
        <w:pStyle w:val="SourceNote"/>
      </w:pPr>
      <w:r>
        <w:rPr>
          <w:b/>
        </w:rPr>
        <w:t xml:space="preserve">Source basis: </w:t>
      </w:r>
      <w:r>
        <w:t>S1 discusses distinguishing threats from noise and emphasizes evaluation of defensive AI maturity; the draft also references precision/recall and human override rates in its profile tables.</w:t>
      </w:r>
    </w:p>
    <w:p>
      <w:pPr>
        <w:pStyle w:val="Heading2"/>
      </w:pPr>
      <w:r>
        <w:t>T447 - Protect defensive AI telemetry, context data, and feedback loops</w:t>
      </w:r>
    </w:p>
    <w:p>
      <w:r>
        <w:t>Adds provenance, integrity, access, poisoning/anomaly detection, and remediation for logs, alerts, threat intelligence, feedback labels, prompts/context, and response channels.</w:t>
      </w:r>
    </w:p>
    <w:p>
      <w:pPr>
        <w:pStyle w:val="SourceNote"/>
      </w:pPr>
      <w:r>
        <w:rPr>
          <w:b/>
        </w:rPr>
        <w:t xml:space="preserve">Source basis: </w:t>
      </w:r>
      <w:r>
        <w:t>S1 states that data is part of the AI supply chain and emphasizes integrity of training/input data; S2 AICM Data Security and Privacy Lifecycle Management and Logging/Monitoring domains reinforce this.</w:t>
      </w:r>
    </w:p>
    <w:p>
      <w:pPr>
        <w:pStyle w:val="Heading2"/>
      </w:pPr>
      <w:r>
        <w:t>T448 - Adversarially test defensive AI and agent-based defense workflows</w:t>
      </w:r>
    </w:p>
    <w:p>
      <w:r>
        <w:t>Adds evasion, alert flooding, poisoned context, prompt/instruction manipulation, identity/credential abuse, unsafe automated response, agent coordination failure, and resource exhaustion scenarios.</w:t>
      </w:r>
    </w:p>
    <w:p>
      <w:pPr>
        <w:pStyle w:val="SourceNote"/>
      </w:pPr>
      <w:r>
        <w:rPr>
          <w:b/>
        </w:rPr>
        <w:t xml:space="preserve">Source basis: </w:t>
      </w:r>
      <w:r>
        <w:t>S1 Defend and Thwart jointly support testing the defensive capability against AI-enabled and adversarial behavior.</w:t>
      </w:r>
    </w:p>
    <w:p>
      <w:pPr>
        <w:pStyle w:val="Heading2"/>
      </w:pPr>
      <w:r>
        <w:t>T449 - Implement fallback, graceful degradation, and conventional cyber-defense continuity</w:t>
      </w:r>
    </w:p>
    <w:p>
      <w:r>
        <w:t>Requires security operations to remain viable if defensive AI is unavailable, compromised, degraded, or unreliable.</w:t>
      </w:r>
    </w:p>
    <w:p>
      <w:pPr>
        <w:pStyle w:val="SourceNote"/>
      </w:pPr>
      <w:r>
        <w:rPr>
          <w:b/>
        </w:rPr>
        <w:t xml:space="preserve">Source basis: </w:t>
      </w:r>
      <w:r>
        <w:t>S1 discusses recovery and defensive AI; S2/S3 business continuity and operational resilience concepts support preserving critical security operations.</w:t>
      </w:r>
    </w:p>
    <w:p>
      <w:pPr>
        <w:pStyle w:val="Heading2"/>
      </w:pPr>
      <w:r>
        <w:t>T450 - Monitor defensive AI drift, effectiveness, authority boundaries, and reauthorization triggers</w:t>
      </w:r>
    </w:p>
    <w:p>
      <w:r>
        <w:t>Adds production monitoring for detection/response quality, drift, false positive/negative trends, unsafe automation, data-source integrity, material changes, and reauthorization.</w:t>
      </w:r>
    </w:p>
    <w:p>
      <w:pPr>
        <w:pStyle w:val="SourceNote"/>
      </w:pPr>
      <w:r>
        <w:rPr>
          <w:b/>
        </w:rPr>
        <w:t xml:space="preserve">Source basis: </w:t>
      </w:r>
      <w:r>
        <w:t>S1 frames the Cyber AI Profile as an ongoing cybersecurity risk-management profile; S3 continuous assurance/metrics guidance supports evidence-based operating-effectiveness monitoring.</w:t>
      </w:r>
    </w:p>
    <w:p>
      <w:pPr>
        <w:pStyle w:val="Heading1"/>
      </w:pPr>
      <w:r>
        <w:t>7. New Registers Added in Version 10</w:t>
      </w:r>
    </w:p>
    <w:p>
      <w:pPr>
        <w:pStyle w:val="Heading2"/>
      </w:pPr>
      <w:r>
        <w:t>AI Supply Chain SSRM</w:t>
      </w:r>
    </w:p>
    <w:p>
      <w:r>
        <w:t>Operationalizes the CSA five-actor responsibility model. Columns identify the AI system/component, organization/provider, CSA actor role, control requirement, owner, shared parties, customer/provider responsibilities, contract and technical evidence, incident/change responsibilities, portability/exit responsibilities, status, and related tasks.</w:t>
      </w:r>
    </w:p>
    <w:p>
      <w:pPr>
        <w:pStyle w:val="SourceNote"/>
      </w:pPr>
      <w:r>
        <w:rPr>
          <w:b/>
        </w:rPr>
        <w:t xml:space="preserve">Implementation/source link: </w:t>
      </w:r>
      <w:r>
        <w:t>T429-T430; S2.</w:t>
      </w:r>
    </w:p>
    <w:p>
      <w:pPr>
        <w:pStyle w:val="Heading2"/>
      </w:pPr>
      <w:r>
        <w:t>AI System BOM</w:t>
      </w:r>
    </w:p>
    <w:p>
      <w:r>
        <w:t>Creates a single dependency view across foundation/predictive models, embedding models, orchestration platforms, agents, prompt/policy/guardrail artifacts, tools/plugins/APIs, software libraries/containers/runtimes, vector stores, knowledge sources, cloud/platform services, security/identity services, and external partners.</w:t>
      </w:r>
    </w:p>
    <w:p>
      <w:pPr>
        <w:pStyle w:val="SourceNote"/>
      </w:pPr>
      <w:r>
        <w:rPr>
          <w:b/>
        </w:rPr>
        <w:t xml:space="preserve">Implementation/source link: </w:t>
      </w:r>
      <w:r>
        <w:t>T431; S3 and S4.</w:t>
      </w:r>
    </w:p>
    <w:p>
      <w:pPr>
        <w:pStyle w:val="Heading2"/>
      </w:pPr>
      <w:r>
        <w:t>Control Effectiveness Metrics</w:t>
      </w:r>
    </w:p>
    <w:p>
      <w:r>
        <w:t>Adds a reusable metrics catalog with framework/control reference, related tasks, metric/test, type, target/threshold, evidence source, owner, cadence, evidence freshness, current result, trend, exception/risk acceptance, and review dates. Ten starter metrics were added for SSRM coverage, BOM completeness, model integrity, model artifact scanning, adversarial model security, Cyber AI Thwart readiness, defensive AI quality, unsafe action boundaries, fallback readiness, and evidence freshness.</w:t>
      </w:r>
    </w:p>
    <w:p>
      <w:pPr>
        <w:pStyle w:val="SourceNote"/>
      </w:pPr>
      <w:r>
        <w:rPr>
          <w:b/>
        </w:rPr>
        <w:t xml:space="preserve">Implementation/source link: </w:t>
      </w:r>
      <w:r>
        <w:t>T432; S3, with supporting NIST/AICM mappings.</w:t>
      </w:r>
    </w:p>
    <w:p>
      <w:pPr>
        <w:pStyle w:val="Heading1"/>
      </w:pPr>
      <w:r>
        <w:t>8. Existing Workbook Sheets Updated</w:t>
      </w:r>
    </w:p>
    <w:p>
      <w:pPr>
        <w:pStyle w:val="ListBullet"/>
      </w:pPr>
      <w:r>
        <w:rPr>
          <w:b/>
        </w:rPr>
        <w:t xml:space="preserve">Executive Summary: </w:t>
      </w:r>
      <w:r>
        <w:t>Updated task count from 426 to 450; work packages from 25 to 28; added summary statements for AI security assurance/shared responsibility, model development security, and conditional AI-enabled cyber defense; added Phase 25-27 summary rows.</w:t>
      </w:r>
    </w:p>
    <w:p>
      <w:pPr>
        <w:pStyle w:val="ListBullet"/>
      </w:pPr>
      <w:r>
        <w:rPr>
          <w:b/>
        </w:rPr>
        <w:t xml:space="preserve">Integrated Project Schedule: </w:t>
      </w:r>
      <w:r>
        <w:t>Appended T427-T450 with owners, supporting roles, durations, dependencies, deliverables, acceptance criteria, gates, priorities, control references, source basis, and planning notes.</w:t>
      </w:r>
    </w:p>
    <w:p>
      <w:pPr>
        <w:pStyle w:val="ListBullet"/>
      </w:pPr>
      <w:r>
        <w:rPr>
          <w:b/>
        </w:rPr>
        <w:t xml:space="preserve">Deliverables Register: </w:t>
      </w:r>
      <w:r>
        <w:t>Added one deliverable/acceptance record for each new task T427-T450.</w:t>
      </w:r>
    </w:p>
    <w:p>
      <w:pPr>
        <w:pStyle w:val="ListBullet"/>
      </w:pPr>
      <w:r>
        <w:rPr>
          <w:b/>
        </w:rPr>
        <w:t xml:space="preserve">Agile Delivery View: </w:t>
      </w:r>
      <w:r>
        <w:t>Updated the Agile description from 426 to 450 activities and added Agile-compatible entries for all 24 new tasks, including work-item type, sprint wave, release/gate, team, Definition of Ready, and Definition of Done.</w:t>
      </w:r>
    </w:p>
    <w:p>
      <w:pPr>
        <w:pStyle w:val="ListBullet"/>
      </w:pPr>
      <w:r>
        <w:rPr>
          <w:b/>
        </w:rPr>
        <w:t xml:space="preserve">Roles &amp; RACI: </w:t>
      </w:r>
      <w:r>
        <w:t>Added three new responsibility columns: AI Security Assurance, Model Development Security, and AI-Enabled Cyber Defense. Existing roles were assigned R/A/C/I responsibility for those workstreams.</w:t>
      </w:r>
    </w:p>
    <w:p>
      <w:pPr>
        <w:pStyle w:val="ListBullet"/>
      </w:pPr>
      <w:r>
        <w:rPr>
          <w:b/>
        </w:rPr>
        <w:t xml:space="preserve">Regulatory &amp; Framework Traceability: </w:t>
      </w:r>
      <w:r>
        <w:t>Added NIST Cyber AI Secure/Defend/Thwart rows, NIST priority tailoring, AICM control applicability, AICM SSRM, AI-CAIQ, CCM cloud responsibility, continuous effectiveness, EU CRA, and cross-framework source/version governance.</w:t>
      </w:r>
    </w:p>
    <w:p>
      <w:pPr>
        <w:pStyle w:val="ListBullet"/>
      </w:pPr>
      <w:r>
        <w:rPr>
          <w:b/>
        </w:rPr>
        <w:t xml:space="preserve">Control Traceability: </w:t>
      </w:r>
      <w:r>
        <w:t>Expanded the register with Framework/Control IDs, AI Stack/Actor, Lifecycle Relevance, Threat Category, Effectiveness Metric/Test, Cadence/Evidence Age, and Applicability Notes. Added three new v10 control domains for AI security assurance/shared responsibility, model development security, and AI-enabled cyber defense.</w:t>
      </w:r>
    </w:p>
    <w:p>
      <w:pPr>
        <w:pStyle w:val="ListBullet"/>
      </w:pPr>
      <w:r>
        <w:rPr>
          <w:b/>
        </w:rPr>
        <w:t xml:space="preserve">Cybersecurity Readiness Register: </w:t>
      </w:r>
      <w:r>
        <w:t>Added effectiveness-metric fields and four v10 readiness domains: AI supply-chain responsibility/assurance, AI System BOM/dependency integrity, AI-enabled adversary readiness, and security-control operating effectiveness.</w:t>
      </w:r>
    </w:p>
    <w:p>
      <w:pPr>
        <w:pStyle w:val="ListBullet"/>
      </w:pPr>
      <w:r>
        <w:rPr>
          <w:b/>
        </w:rPr>
        <w:t xml:space="preserve">Model Experiment Register: </w:t>
      </w:r>
      <w:r>
        <w:t>Added six security-oriented columns for training/pipeline security, artifact integrity/scanning, adversarial threat analysis, signing/provenance/ownership, secure format/release integrity, and model-security decision. Added nine rows mapped to T435-T443.</w:t>
      </w:r>
    </w:p>
    <w:p>
      <w:pPr>
        <w:pStyle w:val="ListBullet"/>
      </w:pPr>
      <w:r>
        <w:rPr>
          <w:b/>
        </w:rPr>
        <w:t xml:space="preserve">Data Lifecycle Register: </w:t>
      </w:r>
      <w:r>
        <w:t>Added Supply-Chain Origin / Trust Source to reinforce NIST's treatment of training and inference data as part of the AI supply chain.</w:t>
      </w:r>
    </w:p>
    <w:p>
      <w:pPr>
        <w:pStyle w:val="ListBullet"/>
      </w:pPr>
      <w:r>
        <w:rPr>
          <w:b/>
        </w:rPr>
        <w:t xml:space="preserve">Source Register: </w:t>
      </w:r>
      <w:r>
        <w:t>Added the NIST Cyber AI draft, AICM workbook/guidance, CCM workbook/implementation guidelines, and EU Cyber Resilience Act as explicit v10 sources with use/limitations.</w:t>
      </w:r>
    </w:p>
    <w:p>
      <w:pPr>
        <w:pStyle w:val="ListBullet"/>
      </w:pPr>
      <w:r>
        <w:rPr>
          <w:b/>
        </w:rPr>
        <w:t xml:space="preserve">Planning Assumptions: </w:t>
      </w:r>
      <w:r>
        <w:t>Added explicit assumptions that NIST IR 8596 is draft/evolving, CSA applicability is risk-based/tailored, and AI-enabled cyber defense is conditional.</w:t>
      </w:r>
    </w:p>
    <w:p>
      <w:pPr>
        <w:pStyle w:val="Heading1"/>
      </w:pPr>
      <w:r>
        <w:t>9. Standards-to-Model Crosswalk</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7365D"/>
            <w:vAlign w:val="top"/>
          </w:tcPr>
          <w:p>
            <w:pPr>
              <w:spacing w:after="40"/>
            </w:pPr>
            <w:r>
              <w:rPr>
                <w:rFonts w:ascii="Aptos" w:hAnsi="Aptos"/>
                <w:b/>
                <w:color w:val="FFFFFF"/>
                <w:sz w:val="17"/>
              </w:rPr>
              <w:t>Source</w:t>
            </w:r>
          </w:p>
        </w:tc>
        <w:tc>
          <w:tcPr>
            <w:tcW w:type="dxa" w:w="2520"/>
            <w:shd w:fill="17365D"/>
            <w:vAlign w:val="top"/>
          </w:tcPr>
          <w:p>
            <w:pPr>
              <w:spacing w:after="40"/>
            </w:pPr>
            <w:r>
              <w:rPr>
                <w:rFonts w:ascii="Aptos" w:hAnsi="Aptos"/>
                <w:b/>
                <w:color w:val="FFFFFF"/>
                <w:sz w:val="17"/>
              </w:rPr>
              <w:t>Source concept</w:t>
            </w:r>
          </w:p>
        </w:tc>
        <w:tc>
          <w:tcPr>
            <w:tcW w:type="dxa" w:w="2520"/>
            <w:shd w:fill="17365D"/>
            <w:vAlign w:val="top"/>
          </w:tcPr>
          <w:p>
            <w:pPr>
              <w:spacing w:after="40"/>
            </w:pPr>
            <w:r>
              <w:rPr>
                <w:rFonts w:ascii="Aptos" w:hAnsi="Aptos"/>
                <w:b/>
                <w:color w:val="FFFFFF"/>
                <w:sz w:val="17"/>
              </w:rPr>
              <w:t>Version 10 implementation</w:t>
            </w:r>
          </w:p>
        </w:tc>
        <w:tc>
          <w:tcPr>
            <w:tcW w:type="dxa" w:w="2520"/>
            <w:shd w:fill="17365D"/>
            <w:vAlign w:val="top"/>
          </w:tcPr>
          <w:p>
            <w:pPr>
              <w:spacing w:after="40"/>
            </w:pPr>
            <w:r>
              <w:rPr>
                <w:rFonts w:ascii="Aptos" w:hAnsi="Aptos"/>
                <w:b/>
                <w:color w:val="FFFFFF"/>
                <w:sz w:val="17"/>
              </w:rPr>
              <w:t>Task / Register</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NIST IR 8596</w:t>
            </w:r>
          </w:p>
        </w:tc>
        <w:tc>
          <w:tcPr>
            <w:tcW w:type="dxa" w:w="2520"/>
            <w:tcMar>
              <w:top w:w="80" w:type="dxa"/>
              <w:start w:w="100" w:type="dxa"/>
              <w:bottom w:w="80" w:type="dxa"/>
              <w:end w:w="100" w:type="dxa"/>
            </w:tcMar>
            <w:vAlign w:val="top"/>
          </w:tcPr>
          <w:p>
            <w:pPr>
              <w:spacing w:after="40"/>
            </w:pPr>
            <w:r>
              <w:rPr>
                <w:rFonts w:ascii="Aptos" w:hAnsi="Aptos"/>
                <w:sz w:val="17"/>
              </w:rPr>
              <w:t>Secure / Defend / Thwart focus areas</w:t>
            </w:r>
          </w:p>
        </w:tc>
        <w:tc>
          <w:tcPr>
            <w:tcW w:type="dxa" w:w="2520"/>
            <w:tcMar>
              <w:top w:w="80" w:type="dxa"/>
              <w:start w:w="100" w:type="dxa"/>
              <w:bottom w:w="80" w:type="dxa"/>
              <w:end w:w="100" w:type="dxa"/>
            </w:tcMar>
            <w:vAlign w:val="top"/>
          </w:tcPr>
          <w:p>
            <w:pPr>
              <w:spacing w:after="40"/>
            </w:pPr>
            <w:r>
              <w:rPr>
                <w:rFonts w:ascii="Aptos" w:hAnsi="Aptos"/>
                <w:sz w:val="17"/>
              </w:rPr>
              <w:t>Added AI-specific CSF profile mapping and a conditional Defend work package.</w:t>
            </w:r>
          </w:p>
        </w:tc>
        <w:tc>
          <w:tcPr>
            <w:tcW w:type="dxa" w:w="2520"/>
            <w:tcMar>
              <w:top w:w="80" w:type="dxa"/>
              <w:start w:w="100" w:type="dxa"/>
              <w:bottom w:w="80" w:type="dxa"/>
              <w:end w:w="100" w:type="dxa"/>
            </w:tcMar>
            <w:vAlign w:val="top"/>
          </w:tcPr>
          <w:p>
            <w:pPr>
              <w:spacing w:after="40"/>
            </w:pPr>
            <w:r>
              <w:rPr>
                <w:rFonts w:ascii="Aptos" w:hAnsi="Aptos"/>
                <w:sz w:val="17"/>
              </w:rPr>
              <w:t>T427; T444-T450</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NIST IR 8596</w:t>
            </w:r>
          </w:p>
        </w:tc>
        <w:tc>
          <w:tcPr>
            <w:tcW w:type="dxa" w:w="2520"/>
            <w:tcMar>
              <w:top w:w="80" w:type="dxa"/>
              <w:start w:w="100" w:type="dxa"/>
              <w:bottom w:w="80" w:type="dxa"/>
              <w:end w:w="100" w:type="dxa"/>
            </w:tcMar>
            <w:vAlign w:val="top"/>
          </w:tcPr>
          <w:p>
            <w:pPr>
              <w:spacing w:after="40"/>
            </w:pPr>
            <w:r>
              <w:rPr>
                <w:rFonts w:ascii="Aptos" w:hAnsi="Aptos"/>
                <w:sz w:val="17"/>
              </w:rPr>
              <w:t>AI-enabled attack evolution and incident analysis</w:t>
            </w:r>
          </w:p>
        </w:tc>
        <w:tc>
          <w:tcPr>
            <w:tcW w:type="dxa" w:w="2520"/>
            <w:tcMar>
              <w:top w:w="80" w:type="dxa"/>
              <w:start w:w="100" w:type="dxa"/>
              <w:bottom w:w="80" w:type="dxa"/>
              <w:end w:w="100" w:type="dxa"/>
            </w:tcMar>
            <w:vAlign w:val="top"/>
          </w:tcPr>
          <w:p>
            <w:pPr>
              <w:spacing w:after="40"/>
            </w:pPr>
            <w:r>
              <w:rPr>
                <w:rFonts w:ascii="Aptos" w:hAnsi="Aptos"/>
                <w:sz w:val="17"/>
              </w:rPr>
              <w:t>Expanded threat model, awareness, detection, and incident criteria for AI-enabled adversaries.</w:t>
            </w:r>
          </w:p>
        </w:tc>
        <w:tc>
          <w:tcPr>
            <w:tcW w:type="dxa" w:w="2520"/>
            <w:tcMar>
              <w:top w:w="80" w:type="dxa"/>
              <w:start w:w="100" w:type="dxa"/>
              <w:bottom w:w="80" w:type="dxa"/>
              <w:end w:w="100" w:type="dxa"/>
            </w:tcMar>
            <w:vAlign w:val="top"/>
          </w:tcPr>
          <w:p>
            <w:pPr>
              <w:spacing w:after="40"/>
            </w:pPr>
            <w:r>
              <w:rPr>
                <w:rFonts w:ascii="Aptos" w:hAnsi="Aptos"/>
                <w:sz w:val="17"/>
              </w:rPr>
              <w:t>T433; T448</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NIST IR 8596</w:t>
            </w:r>
          </w:p>
        </w:tc>
        <w:tc>
          <w:tcPr>
            <w:tcW w:type="dxa" w:w="2520"/>
            <w:tcMar>
              <w:top w:w="80" w:type="dxa"/>
              <w:start w:w="100" w:type="dxa"/>
              <w:bottom w:w="80" w:type="dxa"/>
              <w:end w:w="100" w:type="dxa"/>
            </w:tcMar>
            <w:vAlign w:val="top"/>
          </w:tcPr>
          <w:p>
            <w:pPr>
              <w:spacing w:after="40"/>
            </w:pPr>
            <w:r>
              <w:rPr>
                <w:rFonts w:ascii="Aptos" w:hAnsi="Aptos"/>
                <w:sz w:val="17"/>
              </w:rPr>
              <w:t>AI supply chain includes data provenance/integrity</w:t>
            </w:r>
          </w:p>
        </w:tc>
        <w:tc>
          <w:tcPr>
            <w:tcW w:type="dxa" w:w="2520"/>
            <w:tcMar>
              <w:top w:w="80" w:type="dxa"/>
              <w:start w:w="100" w:type="dxa"/>
              <w:bottom w:w="80" w:type="dxa"/>
              <w:end w:w="100" w:type="dxa"/>
            </w:tcMar>
            <w:vAlign w:val="top"/>
          </w:tcPr>
          <w:p>
            <w:pPr>
              <w:spacing w:after="40"/>
            </w:pPr>
            <w:r>
              <w:rPr>
                <w:rFonts w:ascii="Aptos" w:hAnsi="Aptos"/>
                <w:sz w:val="17"/>
              </w:rPr>
              <w:t>Added supply-chain trust source, data integrity/poisoning controls, and broader dependency tracking.</w:t>
            </w:r>
          </w:p>
        </w:tc>
        <w:tc>
          <w:tcPr>
            <w:tcW w:type="dxa" w:w="2520"/>
            <w:tcMar>
              <w:top w:w="80" w:type="dxa"/>
              <w:start w:w="100" w:type="dxa"/>
              <w:bottom w:w="80" w:type="dxa"/>
              <w:end w:w="100" w:type="dxa"/>
            </w:tcMar>
            <w:vAlign w:val="top"/>
          </w:tcPr>
          <w:p>
            <w:pPr>
              <w:spacing w:after="40"/>
            </w:pPr>
            <w:r>
              <w:rPr>
                <w:rFonts w:ascii="Aptos" w:hAnsi="Aptos"/>
                <w:sz w:val="17"/>
              </w:rPr>
              <w:t>T431; T437; Data Lifecycle Register</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CSA AICM v1.1</w:t>
            </w:r>
          </w:p>
        </w:tc>
        <w:tc>
          <w:tcPr>
            <w:tcW w:type="dxa" w:w="2520"/>
            <w:tcMar>
              <w:top w:w="80" w:type="dxa"/>
              <w:start w:w="100" w:type="dxa"/>
              <w:bottom w:w="80" w:type="dxa"/>
              <w:end w:w="100" w:type="dxa"/>
            </w:tcMar>
            <w:vAlign w:val="top"/>
          </w:tcPr>
          <w:p>
            <w:pPr>
              <w:spacing w:after="40"/>
            </w:pPr>
            <w:r>
              <w:rPr>
                <w:rFonts w:ascii="Aptos" w:hAnsi="Aptos"/>
                <w:sz w:val="17"/>
              </w:rPr>
              <w:t>Five-actor SSRM</w:t>
            </w:r>
          </w:p>
        </w:tc>
        <w:tc>
          <w:tcPr>
            <w:tcW w:type="dxa" w:w="2520"/>
            <w:tcMar>
              <w:top w:w="80" w:type="dxa"/>
              <w:start w:w="100" w:type="dxa"/>
              <w:bottom w:w="80" w:type="dxa"/>
              <w:end w:w="100" w:type="dxa"/>
            </w:tcMar>
            <w:vAlign w:val="top"/>
          </w:tcPr>
          <w:p>
            <w:pPr>
              <w:spacing w:after="40"/>
            </w:pPr>
            <w:r>
              <w:rPr>
                <w:rFonts w:ascii="Aptos" w:hAnsi="Aptos"/>
                <w:sz w:val="17"/>
              </w:rPr>
              <w:t>Added AI Supply Chain SSRM and explicit responsibility mapping.</w:t>
            </w:r>
          </w:p>
        </w:tc>
        <w:tc>
          <w:tcPr>
            <w:tcW w:type="dxa" w:w="2520"/>
            <w:tcMar>
              <w:top w:w="80" w:type="dxa"/>
              <w:start w:w="100" w:type="dxa"/>
              <w:bottom w:w="80" w:type="dxa"/>
              <w:end w:w="100" w:type="dxa"/>
            </w:tcMar>
            <w:vAlign w:val="top"/>
          </w:tcPr>
          <w:p>
            <w:pPr>
              <w:spacing w:after="40"/>
            </w:pPr>
            <w:r>
              <w:rPr>
                <w:rFonts w:ascii="Aptos" w:hAnsi="Aptos"/>
                <w:sz w:val="17"/>
              </w:rPr>
              <w:t>T429; AI Supply Chain SSRM</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CSA AICM v1.1</w:t>
            </w:r>
          </w:p>
        </w:tc>
        <w:tc>
          <w:tcPr>
            <w:tcW w:type="dxa" w:w="2520"/>
            <w:tcMar>
              <w:top w:w="80" w:type="dxa"/>
              <w:start w:w="100" w:type="dxa"/>
              <w:bottom w:w="80" w:type="dxa"/>
              <w:end w:w="100" w:type="dxa"/>
            </w:tcMar>
            <w:vAlign w:val="top"/>
          </w:tcPr>
          <w:p>
            <w:pPr>
              <w:spacing w:after="40"/>
            </w:pPr>
            <w:r>
              <w:rPr>
                <w:rFonts w:ascii="Aptos" w:hAnsi="Aptos"/>
                <w:sz w:val="17"/>
              </w:rPr>
              <w:t>AI-CAIQ and provider/customer responsibility disclosure</w:t>
            </w:r>
          </w:p>
        </w:tc>
        <w:tc>
          <w:tcPr>
            <w:tcW w:type="dxa" w:w="2520"/>
            <w:tcMar>
              <w:top w:w="80" w:type="dxa"/>
              <w:start w:w="100" w:type="dxa"/>
              <w:bottom w:w="80" w:type="dxa"/>
              <w:end w:w="100" w:type="dxa"/>
            </w:tcMar>
            <w:vAlign w:val="top"/>
          </w:tcPr>
          <w:p>
            <w:pPr>
              <w:spacing w:after="40"/>
            </w:pPr>
            <w:r>
              <w:rPr>
                <w:rFonts w:ascii="Aptos" w:hAnsi="Aptos"/>
                <w:sz w:val="17"/>
              </w:rPr>
              <w:t>Integrated AI-CAIQ/CAIQ or equivalent into vendor due diligence.</w:t>
            </w:r>
          </w:p>
        </w:tc>
        <w:tc>
          <w:tcPr>
            <w:tcW w:type="dxa" w:w="2520"/>
            <w:tcMar>
              <w:top w:w="80" w:type="dxa"/>
              <w:start w:w="100" w:type="dxa"/>
              <w:bottom w:w="80" w:type="dxa"/>
              <w:end w:w="100" w:type="dxa"/>
            </w:tcMar>
            <w:vAlign w:val="top"/>
          </w:tcPr>
          <w:p>
            <w:pPr>
              <w:spacing w:after="40"/>
            </w:pPr>
            <w:r>
              <w:rPr>
                <w:rFonts w:ascii="Aptos" w:hAnsi="Aptos"/>
                <w:sz w:val="17"/>
              </w:rPr>
              <w:t>T430</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CSA AICM v1.1</w:t>
            </w:r>
          </w:p>
        </w:tc>
        <w:tc>
          <w:tcPr>
            <w:tcW w:type="dxa" w:w="2520"/>
            <w:tcMar>
              <w:top w:w="80" w:type="dxa"/>
              <w:start w:w="100" w:type="dxa"/>
              <w:bottom w:w="80" w:type="dxa"/>
              <w:end w:w="100" w:type="dxa"/>
            </w:tcMar>
            <w:vAlign w:val="top"/>
          </w:tcPr>
          <w:p>
            <w:pPr>
              <w:spacing w:after="40"/>
            </w:pPr>
            <w:r>
              <w:rPr>
                <w:rFonts w:ascii="Aptos" w:hAnsi="Aptos"/>
                <w:sz w:val="17"/>
              </w:rPr>
              <w:t>Model Security / MDS-01 through MDS-13</w:t>
            </w:r>
          </w:p>
        </w:tc>
        <w:tc>
          <w:tcPr>
            <w:tcW w:type="dxa" w:w="2520"/>
            <w:tcMar>
              <w:top w:w="80" w:type="dxa"/>
              <w:start w:w="100" w:type="dxa"/>
              <w:bottom w:w="80" w:type="dxa"/>
              <w:end w:w="100" w:type="dxa"/>
            </w:tcMar>
            <w:vAlign w:val="top"/>
          </w:tcPr>
          <w:p>
            <w:pPr>
              <w:spacing w:after="40"/>
            </w:pPr>
            <w:r>
              <w:rPr>
                <w:rFonts w:ascii="Aptos" w:hAnsi="Aptos"/>
                <w:sz w:val="17"/>
              </w:rPr>
              <w:t>Added dedicated model development security work package.</w:t>
            </w:r>
          </w:p>
        </w:tc>
        <w:tc>
          <w:tcPr>
            <w:tcW w:type="dxa" w:w="2520"/>
            <w:tcMar>
              <w:top w:w="80" w:type="dxa"/>
              <w:start w:w="100" w:type="dxa"/>
              <w:bottom w:w="80" w:type="dxa"/>
              <w:end w:w="100" w:type="dxa"/>
            </w:tcMar>
            <w:vAlign w:val="top"/>
          </w:tcPr>
          <w:p>
            <w:pPr>
              <w:spacing w:after="40"/>
            </w:pPr>
            <w:r>
              <w:rPr>
                <w:rFonts w:ascii="Aptos" w:hAnsi="Aptos"/>
                <w:sz w:val="17"/>
              </w:rPr>
              <w:t>T435-T443</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CSA CCM v4.1</w:t>
            </w:r>
          </w:p>
        </w:tc>
        <w:tc>
          <w:tcPr>
            <w:tcW w:type="dxa" w:w="2520"/>
            <w:tcMar>
              <w:top w:w="80" w:type="dxa"/>
              <w:start w:w="100" w:type="dxa"/>
              <w:bottom w:w="80" w:type="dxa"/>
              <w:end w:w="100" w:type="dxa"/>
            </w:tcMar>
            <w:vAlign w:val="top"/>
          </w:tcPr>
          <w:p>
            <w:pPr>
              <w:spacing w:after="40"/>
            </w:pPr>
            <w:r>
              <w:rPr>
                <w:rFonts w:ascii="Aptos" w:hAnsi="Aptos"/>
                <w:sz w:val="17"/>
              </w:rPr>
              <w:t>Cloud shared responsibility and CAIQ</w:t>
            </w:r>
          </w:p>
        </w:tc>
        <w:tc>
          <w:tcPr>
            <w:tcW w:type="dxa" w:w="2520"/>
            <w:tcMar>
              <w:top w:w="80" w:type="dxa"/>
              <w:start w:w="100" w:type="dxa"/>
              <w:bottom w:w="80" w:type="dxa"/>
              <w:end w:w="100" w:type="dxa"/>
            </w:tcMar>
            <w:vAlign w:val="top"/>
          </w:tcPr>
          <w:p>
            <w:pPr>
              <w:spacing w:after="40"/>
            </w:pPr>
            <w:r>
              <w:rPr>
                <w:rFonts w:ascii="Aptos" w:hAnsi="Aptos"/>
                <w:sz w:val="17"/>
              </w:rPr>
              <w:t>Added CCM applicability mapping and provider/customer assurance.</w:t>
            </w:r>
          </w:p>
        </w:tc>
        <w:tc>
          <w:tcPr>
            <w:tcW w:type="dxa" w:w="2520"/>
            <w:tcMar>
              <w:top w:w="80" w:type="dxa"/>
              <w:start w:w="100" w:type="dxa"/>
              <w:bottom w:w="80" w:type="dxa"/>
              <w:end w:w="100" w:type="dxa"/>
            </w:tcMar>
            <w:vAlign w:val="top"/>
          </w:tcPr>
          <w:p>
            <w:pPr>
              <w:spacing w:after="40"/>
            </w:pPr>
            <w:r>
              <w:rPr>
                <w:rFonts w:ascii="Aptos" w:hAnsi="Aptos"/>
                <w:sz w:val="17"/>
              </w:rPr>
              <w:t>T428-T430</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CSA CCM v4.1</w:t>
            </w:r>
          </w:p>
        </w:tc>
        <w:tc>
          <w:tcPr>
            <w:tcW w:type="dxa" w:w="2520"/>
            <w:tcMar>
              <w:top w:w="80" w:type="dxa"/>
              <w:start w:w="100" w:type="dxa"/>
              <w:bottom w:w="80" w:type="dxa"/>
              <w:end w:w="100" w:type="dxa"/>
            </w:tcMar>
            <w:vAlign w:val="top"/>
          </w:tcPr>
          <w:p>
            <w:pPr>
              <w:spacing w:after="40"/>
            </w:pPr>
            <w:r>
              <w:rPr>
                <w:rFonts w:ascii="Aptos" w:hAnsi="Aptos"/>
                <w:sz w:val="17"/>
              </w:rPr>
              <w:t>Service BOM / supply-chain inventory</w:t>
            </w:r>
          </w:p>
        </w:tc>
        <w:tc>
          <w:tcPr>
            <w:tcW w:type="dxa" w:w="2520"/>
            <w:tcMar>
              <w:top w:w="80" w:type="dxa"/>
              <w:start w:w="100" w:type="dxa"/>
              <w:bottom w:w="80" w:type="dxa"/>
              <w:end w:w="100" w:type="dxa"/>
            </w:tcMar>
            <w:vAlign w:val="top"/>
          </w:tcPr>
          <w:p>
            <w:pPr>
              <w:spacing w:after="40"/>
            </w:pPr>
            <w:r>
              <w:rPr>
                <w:rFonts w:ascii="Aptos" w:hAnsi="Aptos"/>
                <w:sz w:val="17"/>
              </w:rPr>
              <w:t>Added AI System BOM / dependency manifest.</w:t>
            </w:r>
          </w:p>
        </w:tc>
        <w:tc>
          <w:tcPr>
            <w:tcW w:type="dxa" w:w="2520"/>
            <w:tcMar>
              <w:top w:w="80" w:type="dxa"/>
              <w:start w:w="100" w:type="dxa"/>
              <w:bottom w:w="80" w:type="dxa"/>
              <w:end w:w="100" w:type="dxa"/>
            </w:tcMar>
            <w:vAlign w:val="top"/>
          </w:tcPr>
          <w:p>
            <w:pPr>
              <w:spacing w:after="40"/>
            </w:pPr>
            <w:r>
              <w:rPr>
                <w:rFonts w:ascii="Aptos" w:hAnsi="Aptos"/>
                <w:sz w:val="17"/>
              </w:rPr>
              <w:t>T431; AI System BOM</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CSA CCM v4.1</w:t>
            </w:r>
          </w:p>
        </w:tc>
        <w:tc>
          <w:tcPr>
            <w:tcW w:type="dxa" w:w="2520"/>
            <w:tcMar>
              <w:top w:w="80" w:type="dxa"/>
              <w:start w:w="100" w:type="dxa"/>
              <w:bottom w:w="80" w:type="dxa"/>
              <w:end w:w="100" w:type="dxa"/>
            </w:tcMar>
            <w:vAlign w:val="top"/>
          </w:tcPr>
          <w:p>
            <w:pPr>
              <w:spacing w:after="40"/>
            </w:pPr>
            <w:r>
              <w:rPr>
                <w:rFonts w:ascii="Aptos" w:hAnsi="Aptos"/>
                <w:sz w:val="17"/>
              </w:rPr>
              <w:t>Control-effectiveness metrics / continuous assurance</w:t>
            </w:r>
          </w:p>
        </w:tc>
        <w:tc>
          <w:tcPr>
            <w:tcW w:type="dxa" w:w="2520"/>
            <w:tcMar>
              <w:top w:w="80" w:type="dxa"/>
              <w:start w:w="100" w:type="dxa"/>
              <w:bottom w:w="80" w:type="dxa"/>
              <w:end w:w="100" w:type="dxa"/>
            </w:tcMar>
            <w:vAlign w:val="top"/>
          </w:tcPr>
          <w:p>
            <w:pPr>
              <w:spacing w:after="40"/>
            </w:pPr>
            <w:r>
              <w:rPr>
                <w:rFonts w:ascii="Aptos" w:hAnsi="Aptos"/>
                <w:sz w:val="17"/>
              </w:rPr>
              <w:t>Added thresholds, cadence, evidence aging, and starter metrics.</w:t>
            </w:r>
          </w:p>
        </w:tc>
        <w:tc>
          <w:tcPr>
            <w:tcW w:type="dxa" w:w="2520"/>
            <w:tcMar>
              <w:top w:w="80" w:type="dxa"/>
              <w:start w:w="100" w:type="dxa"/>
              <w:bottom w:w="80" w:type="dxa"/>
              <w:end w:w="100" w:type="dxa"/>
            </w:tcMar>
            <w:vAlign w:val="top"/>
          </w:tcPr>
          <w:p>
            <w:pPr>
              <w:spacing w:after="40"/>
            </w:pPr>
            <w:r>
              <w:rPr>
                <w:rFonts w:ascii="Aptos" w:hAnsi="Aptos"/>
                <w:sz w:val="17"/>
              </w:rPr>
              <w:t>T432; Control Effectiveness Metrics</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EU CRA</w:t>
            </w:r>
          </w:p>
        </w:tc>
        <w:tc>
          <w:tcPr>
            <w:tcW w:type="dxa" w:w="2520"/>
            <w:tcMar>
              <w:top w:w="80" w:type="dxa"/>
              <w:start w:w="100" w:type="dxa"/>
              <w:bottom w:w="80" w:type="dxa"/>
              <w:end w:w="100" w:type="dxa"/>
            </w:tcMar>
            <w:vAlign w:val="top"/>
          </w:tcPr>
          <w:p>
            <w:pPr>
              <w:spacing w:after="40"/>
            </w:pPr>
            <w:r>
              <w:rPr>
                <w:rFonts w:ascii="Aptos" w:hAnsi="Aptos"/>
                <w:sz w:val="17"/>
              </w:rPr>
              <w:t>SBOM, vulnerability handling, support updates, product lifecycle</w:t>
            </w:r>
          </w:p>
        </w:tc>
        <w:tc>
          <w:tcPr>
            <w:tcW w:type="dxa" w:w="2520"/>
            <w:tcMar>
              <w:top w:w="80" w:type="dxa"/>
              <w:start w:w="100" w:type="dxa"/>
              <w:bottom w:w="80" w:type="dxa"/>
              <w:end w:w="100" w:type="dxa"/>
            </w:tcMar>
            <w:vAlign w:val="top"/>
          </w:tcPr>
          <w:p>
            <w:pPr>
              <w:spacing w:after="40"/>
            </w:pPr>
            <w:r>
              <w:rPr>
                <w:rFonts w:ascii="Aptos" w:hAnsi="Aptos"/>
                <w:sz w:val="17"/>
              </w:rPr>
              <w:t>Added conditional CRA applicability and incorporated CRA concepts into BOM/model-security traceability where relevant.</w:t>
            </w:r>
          </w:p>
        </w:tc>
        <w:tc>
          <w:tcPr>
            <w:tcW w:type="dxa" w:w="2520"/>
            <w:tcMar>
              <w:top w:w="80" w:type="dxa"/>
              <w:start w:w="100" w:type="dxa"/>
              <w:bottom w:w="80" w:type="dxa"/>
              <w:end w:w="100" w:type="dxa"/>
            </w:tcMar>
            <w:vAlign w:val="top"/>
          </w:tcPr>
          <w:p>
            <w:pPr>
              <w:spacing w:after="40"/>
            </w:pPr>
            <w:r>
              <w:rPr>
                <w:rFonts w:ascii="Aptos" w:hAnsi="Aptos"/>
                <w:sz w:val="17"/>
              </w:rPr>
              <w:t>T434; T431; T435-T443</w:t>
            </w:r>
          </w:p>
        </w:tc>
      </w:tr>
    </w:tbl>
    <w:p>
      <w:pPr>
        <w:pStyle w:val="Heading1"/>
      </w:pPr>
      <w:r>
        <w:t>10. What Version 10 Deliberately Did Not Change</w:t>
      </w:r>
    </w:p>
    <w:p>
      <w:pPr>
        <w:pStyle w:val="ListBullet"/>
      </w:pPr>
      <w:r>
        <w:t>The core enterprise implementation lifecycle and stage-gate structure remain intact.</w:t>
      </w:r>
    </w:p>
    <w:p>
      <w:pPr>
        <w:pStyle w:val="ListBullet"/>
      </w:pPr>
      <w:r>
        <w:t>NIST IR 8596, AICM, and CCM were not converted into separate sequential lifecycles.</w:t>
      </w:r>
    </w:p>
    <w:p>
      <w:pPr>
        <w:pStyle w:val="ListBullet"/>
      </w:pPr>
      <w:r>
        <w:t>The existing Partner Responsibility Matrix was retained; the CSA SSRM is a companion AI-stack view, not a replacement.</w:t>
      </w:r>
    </w:p>
    <w:p>
      <w:pPr>
        <w:pStyle w:val="ListBullet"/>
      </w:pPr>
      <w:r>
        <w:t>The Model Experimentation work package was retained; Model Development Security is complementary and addresses security/integrity rather than model quality alone.</w:t>
      </w:r>
    </w:p>
    <w:p>
      <w:pPr>
        <w:pStyle w:val="ListBullet"/>
      </w:pPr>
      <w:r>
        <w:t>The AI-Enabled Cyber Defense phase is conditional and may be marked not applicable when the solution does not use AI for cybersecurity operations.</w:t>
      </w:r>
    </w:p>
    <w:p>
      <w:pPr>
        <w:pStyle w:val="ListBullet"/>
      </w:pPr>
      <w:r>
        <w:t>The EU Cyber Resilience Act is treated as product-specific and conditional, not as a blanket requirement for every internal AI deployment.</w:t>
      </w:r>
    </w:p>
    <w:p>
      <w:pPr>
        <w:pStyle w:val="ListBullet"/>
      </w:pPr>
      <w:r>
        <w:t>NIST IR 8596 is identified as draft guidance, and the workbook calls for revalidation when NIST publishes substantive updates.</w:t>
      </w:r>
    </w:p>
    <w:p>
      <w:pPr>
        <w:pStyle w:val="Heading1"/>
      </w:pPr>
      <w:r>
        <w:t>11. Maturity Impact of the Version 10 Changes</w:t>
      </w:r>
    </w:p>
    <w:p>
      <w:r>
        <w:t>Version 10 materially improves the design maturity of the reference model in four ways. First, it creates a clearer chain from framework outcome to control, implementation task, owner, evidence, and effectiveness metric. Second, it creates explicit shared-responsibility accountability across the AI service stack. Third, it treats the model pipeline and model artifacts as security-sensitive assets with their own lifecycle. Fourth, it extends cybersecurity coverage beyond protecting AI to include defending against AI-enabled adversaries and, when applicable, safely using AI for cyber defense.</w:t>
      </w:r>
    </w:p>
    <w:p>
      <w:r>
        <w:t>These additions support an Advanced / near-leading-practice design maturity assessment. They do not by themselves make the model "Level 5" or prove operating maturity. The remaining maturity step is empirical validation: repeated use across materially different AI implementation patterns, measurement of execution and control performance, applicability profiles, independent mapping validation, and continuous improvement based on deployment evidence.</w:t>
      </w:r>
    </w:p>
    <w:p>
      <w:pPr>
        <w:pStyle w:val="Heading1"/>
      </w:pPr>
      <w:r>
        <w:t>12. Recommended Use of Version 10</w:t>
      </w:r>
    </w:p>
    <w:p>
      <w:pPr>
        <w:pStyle w:val="ListNumber"/>
      </w:pPr>
      <w:r>
        <w:t>Start with applicability, not with task execution. Determine which regulatory sources, CSA controls, provider roles, and conditional work packages apply to the specific implementation.</w:t>
      </w:r>
    </w:p>
    <w:p>
      <w:pPr>
        <w:pStyle w:val="ListNumber"/>
      </w:pPr>
      <w:r>
        <w:t>Use the AI Supply Chain SSRM early in architecture and procurement so customer/provider gaps are identified before contracts and production design are finalized.</w:t>
      </w:r>
    </w:p>
    <w:p>
      <w:pPr>
        <w:pStyle w:val="ListNumber"/>
      </w:pPr>
      <w:r>
        <w:t>Use the AI System BOM as a living dependency manifest linked to change management, vulnerability management, incident response, business continuity, and vendor governance.</w:t>
      </w:r>
    </w:p>
    <w:p>
      <w:pPr>
        <w:pStyle w:val="ListNumber"/>
      </w:pPr>
      <w:r>
        <w:t>Use Control Effectiveness Metrics for material controls only. A small number of meaningful measures is preferable to a large set of low-value metrics.</w:t>
      </w:r>
    </w:p>
    <w:p>
      <w:pPr>
        <w:pStyle w:val="ListNumber"/>
      </w:pPr>
      <w:r>
        <w:t>For purchased models or SaaS AI, use provider evidence and shared-responsibility analysis instead of pretending the customer can execute provider-owned MDS activities.</w:t>
      </w:r>
    </w:p>
    <w:p>
      <w:pPr>
        <w:pStyle w:val="ListNumber"/>
      </w:pPr>
      <w:r>
        <w:t>Treat Phase 27 as conditional. When AI is not used in cyber defense, record the work package as not applicable with rationale rather than forcing unnecessary activity.</w:t>
      </w:r>
    </w:p>
    <w:p>
      <w:pPr>
        <w:pStyle w:val="ListNumber"/>
      </w:pPr>
      <w:r>
        <w:t>Record the version/date of NIST IR 8596 used in mappings and schedule a refresh when the draft evolves.</w:t>
      </w:r>
    </w:p>
    <w:p>
      <w:pPr>
        <w:pStyle w:val="Heading1"/>
      </w:pPr>
      <w:r>
        <w:t>Appendix A - Version 10 Task Additions at a Glance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7365D"/>
            <w:vAlign w:val="top"/>
          </w:tcPr>
          <w:p>
            <w:pPr>
              <w:spacing w:after="40"/>
            </w:pPr>
            <w:r>
              <w:rPr>
                <w:rFonts w:ascii="Aptos" w:hAnsi="Aptos"/>
                <w:b/>
                <w:color w:val="FFFFFF"/>
                <w:sz w:val="17"/>
              </w:rPr>
              <w:t>Task</w:t>
            </w:r>
          </w:p>
        </w:tc>
        <w:tc>
          <w:tcPr>
            <w:tcW w:type="dxa" w:w="2520"/>
            <w:shd w:fill="17365D"/>
            <w:vAlign w:val="top"/>
          </w:tcPr>
          <w:p>
            <w:pPr>
              <w:spacing w:after="40"/>
            </w:pPr>
            <w:r>
              <w:rPr>
                <w:rFonts w:ascii="Aptos" w:hAnsi="Aptos"/>
                <w:b/>
                <w:color w:val="FFFFFF"/>
                <w:sz w:val="17"/>
              </w:rPr>
              <w:t>Version 10 addition</w:t>
            </w:r>
          </w:p>
        </w:tc>
        <w:tc>
          <w:tcPr>
            <w:tcW w:type="dxa" w:w="2520"/>
            <w:shd w:fill="17365D"/>
            <w:vAlign w:val="top"/>
          </w:tcPr>
          <w:p>
            <w:pPr>
              <w:spacing w:after="40"/>
            </w:pPr>
            <w:r>
              <w:rPr>
                <w:rFonts w:ascii="Aptos" w:hAnsi="Aptos"/>
                <w:b/>
                <w:color w:val="FFFFFF"/>
                <w:sz w:val="17"/>
              </w:rPr>
              <w:t>Primary source</w:t>
            </w:r>
          </w:p>
        </w:tc>
        <w:tc>
          <w:tcPr>
            <w:tcW w:type="dxa" w:w="2520"/>
            <w:shd w:fill="17365D"/>
            <w:vAlign w:val="top"/>
          </w:tcPr>
          <w:p>
            <w:pPr>
              <w:spacing w:after="40"/>
            </w:pPr>
            <w:r>
              <w:rPr>
                <w:rFonts w:ascii="Aptos" w:hAnsi="Aptos"/>
                <w:b/>
                <w:color w:val="FFFFFF"/>
                <w:sz w:val="17"/>
              </w:rPr>
              <w:t>Primary output</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T427</w:t>
            </w:r>
          </w:p>
        </w:tc>
        <w:tc>
          <w:tcPr>
            <w:tcW w:type="dxa" w:w="2520"/>
            <w:tcMar>
              <w:top w:w="80" w:type="dxa"/>
              <w:start w:w="100" w:type="dxa"/>
              <w:bottom w:w="80" w:type="dxa"/>
              <w:end w:w="100" w:type="dxa"/>
            </w:tcMar>
            <w:vAlign w:val="top"/>
          </w:tcPr>
          <w:p>
            <w:pPr>
              <w:spacing w:after="40"/>
            </w:pPr>
            <w:r>
              <w:rPr>
                <w:rFonts w:ascii="Aptos" w:hAnsi="Aptos"/>
                <w:sz w:val="17"/>
              </w:rPr>
              <w:t>NIST Cyber AI Secure/Defend/Thwart mapping</w:t>
            </w:r>
          </w:p>
        </w:tc>
        <w:tc>
          <w:tcPr>
            <w:tcW w:type="dxa" w:w="2520"/>
            <w:tcMar>
              <w:top w:w="80" w:type="dxa"/>
              <w:start w:w="100" w:type="dxa"/>
              <w:bottom w:w="80" w:type="dxa"/>
              <w:end w:w="100" w:type="dxa"/>
            </w:tcMar>
            <w:vAlign w:val="top"/>
          </w:tcPr>
          <w:p>
            <w:pPr>
              <w:spacing w:after="40"/>
            </w:pPr>
            <w:r>
              <w:rPr>
                <w:rFonts w:ascii="Aptos" w:hAnsi="Aptos"/>
                <w:sz w:val="17"/>
              </w:rPr>
              <w:t>S1</w:t>
            </w:r>
          </w:p>
        </w:tc>
        <w:tc>
          <w:tcPr>
            <w:tcW w:type="dxa" w:w="2520"/>
            <w:tcMar>
              <w:top w:w="80" w:type="dxa"/>
              <w:start w:w="100" w:type="dxa"/>
              <w:bottom w:w="80" w:type="dxa"/>
              <w:end w:w="100" w:type="dxa"/>
            </w:tcMar>
            <w:vAlign w:val="top"/>
          </w:tcPr>
          <w:p>
            <w:pPr>
              <w:spacing w:after="40"/>
            </w:pPr>
            <w:r>
              <w:rPr>
                <w:rFonts w:ascii="Aptos" w:hAnsi="Aptos"/>
                <w:sz w:val="17"/>
              </w:rPr>
              <w:t>NIST Cyber AI Profile mapping</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T428</w:t>
            </w:r>
          </w:p>
        </w:tc>
        <w:tc>
          <w:tcPr>
            <w:tcW w:type="dxa" w:w="2520"/>
            <w:tcMar>
              <w:top w:w="80" w:type="dxa"/>
              <w:start w:w="100" w:type="dxa"/>
              <w:bottom w:w="80" w:type="dxa"/>
              <w:end w:w="100" w:type="dxa"/>
            </w:tcMar>
            <w:vAlign w:val="top"/>
          </w:tcPr>
          <w:p>
            <w:pPr>
              <w:spacing w:after="40"/>
            </w:pPr>
            <w:r>
              <w:rPr>
                <w:rFonts w:ascii="Aptos" w:hAnsi="Aptos"/>
                <w:sz w:val="17"/>
              </w:rPr>
              <w:t>AICM/CCM applicability and mapping</w:t>
            </w:r>
          </w:p>
        </w:tc>
        <w:tc>
          <w:tcPr>
            <w:tcW w:type="dxa" w:w="2520"/>
            <w:tcMar>
              <w:top w:w="80" w:type="dxa"/>
              <w:start w:w="100" w:type="dxa"/>
              <w:bottom w:w="80" w:type="dxa"/>
              <w:end w:w="100" w:type="dxa"/>
            </w:tcMar>
            <w:vAlign w:val="top"/>
          </w:tcPr>
          <w:p>
            <w:pPr>
              <w:spacing w:after="40"/>
            </w:pPr>
            <w:r>
              <w:rPr>
                <w:rFonts w:ascii="Aptos" w:hAnsi="Aptos"/>
                <w:sz w:val="17"/>
              </w:rPr>
              <w:t>S2/S3</w:t>
            </w:r>
          </w:p>
        </w:tc>
        <w:tc>
          <w:tcPr>
            <w:tcW w:type="dxa" w:w="2520"/>
            <w:tcMar>
              <w:top w:w="80" w:type="dxa"/>
              <w:start w:w="100" w:type="dxa"/>
              <w:bottom w:w="80" w:type="dxa"/>
              <w:end w:w="100" w:type="dxa"/>
            </w:tcMar>
            <w:vAlign w:val="top"/>
          </w:tcPr>
          <w:p>
            <w:pPr>
              <w:spacing w:after="40"/>
            </w:pPr>
            <w:r>
              <w:rPr>
                <w:rFonts w:ascii="Aptos" w:hAnsi="Aptos"/>
                <w:sz w:val="17"/>
              </w:rPr>
              <w:t>CSA AICM/CCM applicability and mapping plan</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T429</w:t>
            </w:r>
          </w:p>
        </w:tc>
        <w:tc>
          <w:tcPr>
            <w:tcW w:type="dxa" w:w="2520"/>
            <w:tcMar>
              <w:top w:w="80" w:type="dxa"/>
              <w:start w:w="100" w:type="dxa"/>
              <w:bottom w:w="80" w:type="dxa"/>
              <w:end w:w="100" w:type="dxa"/>
            </w:tcMar>
            <w:vAlign w:val="top"/>
          </w:tcPr>
          <w:p>
            <w:pPr>
              <w:spacing w:after="40"/>
            </w:pPr>
            <w:r>
              <w:rPr>
                <w:rFonts w:ascii="Aptos" w:hAnsi="Aptos"/>
                <w:sz w:val="17"/>
              </w:rPr>
              <w:t>Five-actor AI shared responsibility</w:t>
            </w:r>
          </w:p>
        </w:tc>
        <w:tc>
          <w:tcPr>
            <w:tcW w:type="dxa" w:w="2520"/>
            <w:tcMar>
              <w:top w:w="80" w:type="dxa"/>
              <w:start w:w="100" w:type="dxa"/>
              <w:bottom w:w="80" w:type="dxa"/>
              <w:end w:w="100" w:type="dxa"/>
            </w:tcMar>
            <w:vAlign w:val="top"/>
          </w:tcPr>
          <w:p>
            <w:pPr>
              <w:spacing w:after="40"/>
            </w:pPr>
            <w:r>
              <w:rPr>
                <w:rFonts w:ascii="Aptos" w:hAnsi="Aptos"/>
                <w:sz w:val="17"/>
              </w:rPr>
              <w:t>S2</w:t>
            </w:r>
          </w:p>
        </w:tc>
        <w:tc>
          <w:tcPr>
            <w:tcW w:type="dxa" w:w="2520"/>
            <w:tcMar>
              <w:top w:w="80" w:type="dxa"/>
              <w:start w:w="100" w:type="dxa"/>
              <w:bottom w:w="80" w:type="dxa"/>
              <w:end w:w="100" w:type="dxa"/>
            </w:tcMar>
            <w:vAlign w:val="top"/>
          </w:tcPr>
          <w:p>
            <w:pPr>
              <w:spacing w:after="40"/>
            </w:pPr>
            <w:r>
              <w:rPr>
                <w:rFonts w:ascii="Aptos" w:hAnsi="Aptos"/>
                <w:sz w:val="17"/>
              </w:rPr>
              <w:t>AI supply-chain SSRM register</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T430</w:t>
            </w:r>
          </w:p>
        </w:tc>
        <w:tc>
          <w:tcPr>
            <w:tcW w:type="dxa" w:w="2520"/>
            <w:tcMar>
              <w:top w:w="80" w:type="dxa"/>
              <w:start w:w="100" w:type="dxa"/>
              <w:bottom w:w="80" w:type="dxa"/>
              <w:end w:w="100" w:type="dxa"/>
            </w:tcMar>
            <w:vAlign w:val="top"/>
          </w:tcPr>
          <w:p>
            <w:pPr>
              <w:spacing w:after="40"/>
            </w:pPr>
            <w:r>
              <w:rPr>
                <w:rFonts w:ascii="Aptos" w:hAnsi="Aptos"/>
                <w:sz w:val="17"/>
              </w:rPr>
              <w:t>AI-CAIQ/CAIQ provider assurance</w:t>
            </w:r>
          </w:p>
        </w:tc>
        <w:tc>
          <w:tcPr>
            <w:tcW w:type="dxa" w:w="2520"/>
            <w:tcMar>
              <w:top w:w="80" w:type="dxa"/>
              <w:start w:w="100" w:type="dxa"/>
              <w:bottom w:w="80" w:type="dxa"/>
              <w:end w:w="100" w:type="dxa"/>
            </w:tcMar>
            <w:vAlign w:val="top"/>
          </w:tcPr>
          <w:p>
            <w:pPr>
              <w:spacing w:after="40"/>
            </w:pPr>
            <w:r>
              <w:rPr>
                <w:rFonts w:ascii="Aptos" w:hAnsi="Aptos"/>
                <w:sz w:val="17"/>
              </w:rPr>
              <w:t>S2/S3</w:t>
            </w:r>
          </w:p>
        </w:tc>
        <w:tc>
          <w:tcPr>
            <w:tcW w:type="dxa" w:w="2520"/>
            <w:tcMar>
              <w:top w:w="80" w:type="dxa"/>
              <w:start w:w="100" w:type="dxa"/>
              <w:bottom w:w="80" w:type="dxa"/>
              <w:end w:w="100" w:type="dxa"/>
            </w:tcMar>
            <w:vAlign w:val="top"/>
          </w:tcPr>
          <w:p>
            <w:pPr>
              <w:spacing w:after="40"/>
            </w:pPr>
            <w:r>
              <w:rPr>
                <w:rFonts w:ascii="Aptos" w:hAnsi="Aptos"/>
                <w:sz w:val="17"/>
              </w:rPr>
              <w:t>AI/cloud provider assurance package</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T431</w:t>
            </w:r>
          </w:p>
        </w:tc>
        <w:tc>
          <w:tcPr>
            <w:tcW w:type="dxa" w:w="2520"/>
            <w:tcMar>
              <w:top w:w="80" w:type="dxa"/>
              <w:start w:w="100" w:type="dxa"/>
              <w:bottom w:w="80" w:type="dxa"/>
              <w:end w:w="100" w:type="dxa"/>
            </w:tcMar>
            <w:vAlign w:val="top"/>
          </w:tcPr>
          <w:p>
            <w:pPr>
              <w:spacing w:after="40"/>
            </w:pPr>
            <w:r>
              <w:rPr>
                <w:rFonts w:ascii="Aptos" w:hAnsi="Aptos"/>
                <w:sz w:val="17"/>
              </w:rPr>
              <w:t>AI System BOM / dependency manifest</w:t>
            </w:r>
          </w:p>
        </w:tc>
        <w:tc>
          <w:tcPr>
            <w:tcW w:type="dxa" w:w="2520"/>
            <w:tcMar>
              <w:top w:w="80" w:type="dxa"/>
              <w:start w:w="100" w:type="dxa"/>
              <w:bottom w:w="80" w:type="dxa"/>
              <w:end w:w="100" w:type="dxa"/>
            </w:tcMar>
            <w:vAlign w:val="top"/>
          </w:tcPr>
          <w:p>
            <w:pPr>
              <w:spacing w:after="40"/>
            </w:pPr>
            <w:r>
              <w:rPr>
                <w:rFonts w:ascii="Aptos" w:hAnsi="Aptos"/>
                <w:sz w:val="17"/>
              </w:rPr>
              <w:t>S3/S4</w:t>
            </w:r>
          </w:p>
        </w:tc>
        <w:tc>
          <w:tcPr>
            <w:tcW w:type="dxa" w:w="2520"/>
            <w:tcMar>
              <w:top w:w="80" w:type="dxa"/>
              <w:start w:w="100" w:type="dxa"/>
              <w:bottom w:w="80" w:type="dxa"/>
              <w:end w:w="100" w:type="dxa"/>
            </w:tcMar>
            <w:vAlign w:val="top"/>
          </w:tcPr>
          <w:p>
            <w:pPr>
              <w:spacing w:after="40"/>
            </w:pPr>
            <w:r>
              <w:rPr>
                <w:rFonts w:ascii="Aptos" w:hAnsi="Aptos"/>
                <w:sz w:val="17"/>
              </w:rPr>
              <w:t>AI System BOM</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T432</w:t>
            </w:r>
          </w:p>
        </w:tc>
        <w:tc>
          <w:tcPr>
            <w:tcW w:type="dxa" w:w="2520"/>
            <w:tcMar>
              <w:top w:w="80" w:type="dxa"/>
              <w:start w:w="100" w:type="dxa"/>
              <w:bottom w:w="80" w:type="dxa"/>
              <w:end w:w="100" w:type="dxa"/>
            </w:tcMar>
            <w:vAlign w:val="top"/>
          </w:tcPr>
          <w:p>
            <w:pPr>
              <w:spacing w:after="40"/>
            </w:pPr>
            <w:r>
              <w:rPr>
                <w:rFonts w:ascii="Aptos" w:hAnsi="Aptos"/>
                <w:sz w:val="17"/>
              </w:rPr>
              <w:t>Control effectiveness and evidence aging</w:t>
            </w:r>
          </w:p>
        </w:tc>
        <w:tc>
          <w:tcPr>
            <w:tcW w:type="dxa" w:w="2520"/>
            <w:tcMar>
              <w:top w:w="80" w:type="dxa"/>
              <w:start w:w="100" w:type="dxa"/>
              <w:bottom w:w="80" w:type="dxa"/>
              <w:end w:w="100" w:type="dxa"/>
            </w:tcMar>
            <w:vAlign w:val="top"/>
          </w:tcPr>
          <w:p>
            <w:pPr>
              <w:spacing w:after="40"/>
            </w:pPr>
            <w:r>
              <w:rPr>
                <w:rFonts w:ascii="Aptos" w:hAnsi="Aptos"/>
                <w:sz w:val="17"/>
              </w:rPr>
              <w:t>S3</w:t>
            </w:r>
          </w:p>
        </w:tc>
        <w:tc>
          <w:tcPr>
            <w:tcW w:type="dxa" w:w="2520"/>
            <w:tcMar>
              <w:top w:w="80" w:type="dxa"/>
              <w:start w:w="100" w:type="dxa"/>
              <w:bottom w:w="80" w:type="dxa"/>
              <w:end w:w="100" w:type="dxa"/>
            </w:tcMar>
            <w:vAlign w:val="top"/>
          </w:tcPr>
          <w:p>
            <w:pPr>
              <w:spacing w:after="40"/>
            </w:pPr>
            <w:r>
              <w:rPr>
                <w:rFonts w:ascii="Aptos" w:hAnsi="Aptos"/>
                <w:sz w:val="17"/>
              </w:rPr>
              <w:t>Control effectiveness metrics catalog</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T433</w:t>
            </w:r>
          </w:p>
        </w:tc>
        <w:tc>
          <w:tcPr>
            <w:tcW w:type="dxa" w:w="2520"/>
            <w:tcMar>
              <w:top w:w="80" w:type="dxa"/>
              <w:start w:w="100" w:type="dxa"/>
              <w:bottom w:w="80" w:type="dxa"/>
              <w:end w:w="100" w:type="dxa"/>
            </w:tcMar>
            <w:vAlign w:val="top"/>
          </w:tcPr>
          <w:p>
            <w:pPr>
              <w:spacing w:after="40"/>
            </w:pPr>
            <w:r>
              <w:rPr>
                <w:rFonts w:ascii="Aptos" w:hAnsi="Aptos"/>
                <w:sz w:val="17"/>
              </w:rPr>
              <w:t>AI-enabled adversary threat model</w:t>
            </w:r>
          </w:p>
        </w:tc>
        <w:tc>
          <w:tcPr>
            <w:tcW w:type="dxa" w:w="2520"/>
            <w:tcMar>
              <w:top w:w="80" w:type="dxa"/>
              <w:start w:w="100" w:type="dxa"/>
              <w:bottom w:w="80" w:type="dxa"/>
              <w:end w:w="100" w:type="dxa"/>
            </w:tcMar>
            <w:vAlign w:val="top"/>
          </w:tcPr>
          <w:p>
            <w:pPr>
              <w:spacing w:after="40"/>
            </w:pPr>
            <w:r>
              <w:rPr>
                <w:rFonts w:ascii="Aptos" w:hAnsi="Aptos"/>
                <w:sz w:val="17"/>
              </w:rPr>
              <w:t>S1</w:t>
            </w:r>
          </w:p>
        </w:tc>
        <w:tc>
          <w:tcPr>
            <w:tcW w:type="dxa" w:w="2520"/>
            <w:tcMar>
              <w:top w:w="80" w:type="dxa"/>
              <w:start w:w="100" w:type="dxa"/>
              <w:bottom w:w="80" w:type="dxa"/>
              <w:end w:w="100" w:type="dxa"/>
            </w:tcMar>
            <w:vAlign w:val="top"/>
          </w:tcPr>
          <w:p>
            <w:pPr>
              <w:spacing w:after="40"/>
            </w:pPr>
            <w:r>
              <w:rPr>
                <w:rFonts w:ascii="Aptos" w:hAnsi="Aptos"/>
                <w:sz w:val="17"/>
              </w:rPr>
              <w:t>Threat model and response criteria</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T434</w:t>
            </w:r>
          </w:p>
        </w:tc>
        <w:tc>
          <w:tcPr>
            <w:tcW w:type="dxa" w:w="2520"/>
            <w:tcMar>
              <w:top w:w="80" w:type="dxa"/>
              <w:start w:w="100" w:type="dxa"/>
              <w:bottom w:w="80" w:type="dxa"/>
              <w:end w:w="100" w:type="dxa"/>
            </w:tcMar>
            <w:vAlign w:val="top"/>
          </w:tcPr>
          <w:p>
            <w:pPr>
              <w:spacing w:after="40"/>
            </w:pPr>
            <w:r>
              <w:rPr>
                <w:rFonts w:ascii="Aptos" w:hAnsi="Aptos"/>
                <w:sz w:val="17"/>
              </w:rPr>
              <w:t>EU CRA applicability</w:t>
            </w:r>
          </w:p>
        </w:tc>
        <w:tc>
          <w:tcPr>
            <w:tcW w:type="dxa" w:w="2520"/>
            <w:tcMar>
              <w:top w:w="80" w:type="dxa"/>
              <w:start w:w="100" w:type="dxa"/>
              <w:bottom w:w="80" w:type="dxa"/>
              <w:end w:w="100" w:type="dxa"/>
            </w:tcMar>
            <w:vAlign w:val="top"/>
          </w:tcPr>
          <w:p>
            <w:pPr>
              <w:spacing w:after="40"/>
            </w:pPr>
            <w:r>
              <w:rPr>
                <w:rFonts w:ascii="Aptos" w:hAnsi="Aptos"/>
                <w:sz w:val="17"/>
              </w:rPr>
              <w:t>S4</w:t>
            </w:r>
          </w:p>
        </w:tc>
        <w:tc>
          <w:tcPr>
            <w:tcW w:type="dxa" w:w="2520"/>
            <w:tcMar>
              <w:top w:w="80" w:type="dxa"/>
              <w:start w:w="100" w:type="dxa"/>
              <w:bottom w:w="80" w:type="dxa"/>
              <w:end w:w="100" w:type="dxa"/>
            </w:tcMar>
            <w:vAlign w:val="top"/>
          </w:tcPr>
          <w:p>
            <w:pPr>
              <w:spacing w:after="40"/>
            </w:pPr>
            <w:r>
              <w:rPr>
                <w:rFonts w:ascii="Aptos" w:hAnsi="Aptos"/>
                <w:sz w:val="17"/>
              </w:rPr>
              <w:t>CRA applicability/obligation assessment</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T435</w:t>
            </w:r>
          </w:p>
        </w:tc>
        <w:tc>
          <w:tcPr>
            <w:tcW w:type="dxa" w:w="2520"/>
            <w:tcMar>
              <w:top w:w="80" w:type="dxa"/>
              <w:start w:w="100" w:type="dxa"/>
              <w:bottom w:w="80" w:type="dxa"/>
              <w:end w:w="100" w:type="dxa"/>
            </w:tcMar>
            <w:vAlign w:val="top"/>
          </w:tcPr>
          <w:p>
            <w:pPr>
              <w:spacing w:after="40"/>
            </w:pPr>
            <w:r>
              <w:rPr>
                <w:rFonts w:ascii="Aptos" w:hAnsi="Aptos"/>
                <w:sz w:val="17"/>
              </w:rPr>
              <w:t>Secure model pipeline</w:t>
            </w:r>
          </w:p>
        </w:tc>
        <w:tc>
          <w:tcPr>
            <w:tcW w:type="dxa" w:w="2520"/>
            <w:tcMar>
              <w:top w:w="80" w:type="dxa"/>
              <w:start w:w="100" w:type="dxa"/>
              <w:bottom w:w="80" w:type="dxa"/>
              <w:end w:w="100" w:type="dxa"/>
            </w:tcMar>
            <w:vAlign w:val="top"/>
          </w:tcPr>
          <w:p>
            <w:pPr>
              <w:spacing w:after="40"/>
            </w:pPr>
            <w:r>
              <w:rPr>
                <w:rFonts w:ascii="Aptos" w:hAnsi="Aptos"/>
                <w:sz w:val="17"/>
              </w:rPr>
              <w:t>S2 MDS-01</w:t>
            </w:r>
          </w:p>
        </w:tc>
        <w:tc>
          <w:tcPr>
            <w:tcW w:type="dxa" w:w="2520"/>
            <w:tcMar>
              <w:top w:w="80" w:type="dxa"/>
              <w:start w:w="100" w:type="dxa"/>
              <w:bottom w:w="80" w:type="dxa"/>
              <w:end w:w="100" w:type="dxa"/>
            </w:tcMar>
            <w:vAlign w:val="top"/>
          </w:tcPr>
          <w:p>
            <w:pPr>
              <w:spacing w:after="40"/>
            </w:pPr>
            <w:r>
              <w:rPr>
                <w:rFonts w:ascii="Aptos" w:hAnsi="Aptos"/>
                <w:sz w:val="17"/>
              </w:rPr>
              <w:t>Secure model pipeline validation</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T436</w:t>
            </w:r>
          </w:p>
        </w:tc>
        <w:tc>
          <w:tcPr>
            <w:tcW w:type="dxa" w:w="2520"/>
            <w:tcMar>
              <w:top w:w="80" w:type="dxa"/>
              <w:start w:w="100" w:type="dxa"/>
              <w:bottom w:w="80" w:type="dxa"/>
              <w:end w:w="100" w:type="dxa"/>
            </w:tcMar>
            <w:vAlign w:val="top"/>
          </w:tcPr>
          <w:p>
            <w:pPr>
              <w:spacing w:after="40"/>
            </w:pPr>
            <w:r>
              <w:rPr>
                <w:rFonts w:ascii="Aptos" w:hAnsi="Aptos"/>
                <w:sz w:val="17"/>
              </w:rPr>
              <w:t>Model artifact scanning</w:t>
            </w:r>
          </w:p>
        </w:tc>
        <w:tc>
          <w:tcPr>
            <w:tcW w:type="dxa" w:w="2520"/>
            <w:tcMar>
              <w:top w:w="80" w:type="dxa"/>
              <w:start w:w="100" w:type="dxa"/>
              <w:bottom w:w="80" w:type="dxa"/>
              <w:end w:w="100" w:type="dxa"/>
            </w:tcMar>
            <w:vAlign w:val="top"/>
          </w:tcPr>
          <w:p>
            <w:pPr>
              <w:spacing w:after="40"/>
            </w:pPr>
            <w:r>
              <w:rPr>
                <w:rFonts w:ascii="Aptos" w:hAnsi="Aptos"/>
                <w:sz w:val="17"/>
              </w:rPr>
              <w:t>S2 MDS-02/MDS-13</w:t>
            </w:r>
          </w:p>
        </w:tc>
        <w:tc>
          <w:tcPr>
            <w:tcW w:type="dxa" w:w="2520"/>
            <w:tcMar>
              <w:top w:w="80" w:type="dxa"/>
              <w:start w:w="100" w:type="dxa"/>
              <w:bottom w:w="80" w:type="dxa"/>
              <w:end w:w="100" w:type="dxa"/>
            </w:tcMar>
            <w:vAlign w:val="top"/>
          </w:tcPr>
          <w:p>
            <w:pPr>
              <w:spacing w:after="40"/>
            </w:pPr>
            <w:r>
              <w:rPr>
                <w:rFonts w:ascii="Aptos" w:hAnsi="Aptos"/>
                <w:sz w:val="17"/>
              </w:rPr>
              <w:t>Artifact scanning evidence</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T437</w:t>
            </w:r>
          </w:p>
        </w:tc>
        <w:tc>
          <w:tcPr>
            <w:tcW w:type="dxa" w:w="2520"/>
            <w:tcMar>
              <w:top w:w="80" w:type="dxa"/>
              <w:start w:w="100" w:type="dxa"/>
              <w:bottom w:w="80" w:type="dxa"/>
              <w:end w:w="100" w:type="dxa"/>
            </w:tcMar>
            <w:vAlign w:val="top"/>
          </w:tcPr>
          <w:p>
            <w:pPr>
              <w:spacing w:after="40"/>
            </w:pPr>
            <w:r>
              <w:rPr>
                <w:rFonts w:ascii="Aptos" w:hAnsi="Aptos"/>
                <w:sz w:val="17"/>
              </w:rPr>
              <w:t>Data integrity / poisoning response</w:t>
            </w:r>
          </w:p>
        </w:tc>
        <w:tc>
          <w:tcPr>
            <w:tcW w:type="dxa" w:w="2520"/>
            <w:tcMar>
              <w:top w:w="80" w:type="dxa"/>
              <w:start w:w="100" w:type="dxa"/>
              <w:bottom w:w="80" w:type="dxa"/>
              <w:end w:w="100" w:type="dxa"/>
            </w:tcMar>
            <w:vAlign w:val="top"/>
          </w:tcPr>
          <w:p>
            <w:pPr>
              <w:spacing w:after="40"/>
            </w:pPr>
            <w:r>
              <w:rPr>
                <w:rFonts w:ascii="Aptos" w:hAnsi="Aptos"/>
                <w:sz w:val="17"/>
              </w:rPr>
              <w:t>S1/S2</w:t>
            </w:r>
          </w:p>
        </w:tc>
        <w:tc>
          <w:tcPr>
            <w:tcW w:type="dxa" w:w="2520"/>
            <w:tcMar>
              <w:top w:w="80" w:type="dxa"/>
              <w:start w:w="100" w:type="dxa"/>
              <w:bottom w:w="80" w:type="dxa"/>
              <w:end w:w="100" w:type="dxa"/>
            </w:tcMar>
            <w:vAlign w:val="top"/>
          </w:tcPr>
          <w:p>
            <w:pPr>
              <w:spacing w:after="40"/>
            </w:pPr>
            <w:r>
              <w:rPr>
                <w:rFonts w:ascii="Aptos" w:hAnsi="Aptos"/>
                <w:sz w:val="17"/>
              </w:rPr>
              <w:t>Training/evaluation data integrity controls</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T438</w:t>
            </w:r>
          </w:p>
        </w:tc>
        <w:tc>
          <w:tcPr>
            <w:tcW w:type="dxa" w:w="2520"/>
            <w:tcMar>
              <w:top w:w="80" w:type="dxa"/>
              <w:start w:w="100" w:type="dxa"/>
              <w:bottom w:w="80" w:type="dxa"/>
              <w:end w:w="100" w:type="dxa"/>
            </w:tcMar>
            <w:vAlign w:val="top"/>
          </w:tcPr>
          <w:p>
            <w:pPr>
              <w:spacing w:after="40"/>
            </w:pPr>
            <w:r>
              <w:rPr>
                <w:rFonts w:ascii="Aptos" w:hAnsi="Aptos"/>
                <w:sz w:val="17"/>
              </w:rPr>
              <w:t>Model integrity/signing/provenance</w:t>
            </w:r>
          </w:p>
        </w:tc>
        <w:tc>
          <w:tcPr>
            <w:tcW w:type="dxa" w:w="2520"/>
            <w:tcMar>
              <w:top w:w="80" w:type="dxa"/>
              <w:start w:w="100" w:type="dxa"/>
              <w:bottom w:w="80" w:type="dxa"/>
              <w:end w:w="100" w:type="dxa"/>
            </w:tcMar>
            <w:vAlign w:val="top"/>
          </w:tcPr>
          <w:p>
            <w:pPr>
              <w:spacing w:after="40"/>
            </w:pPr>
            <w:r>
              <w:rPr>
                <w:rFonts w:ascii="Aptos" w:hAnsi="Aptos"/>
                <w:sz w:val="17"/>
              </w:rPr>
              <w:t>S2 MDS-08/MDS-09</w:t>
            </w:r>
          </w:p>
        </w:tc>
        <w:tc>
          <w:tcPr>
            <w:tcW w:type="dxa" w:w="2520"/>
            <w:tcMar>
              <w:top w:w="80" w:type="dxa"/>
              <w:start w:w="100" w:type="dxa"/>
              <w:bottom w:w="80" w:type="dxa"/>
              <w:end w:w="100" w:type="dxa"/>
            </w:tcMar>
            <w:vAlign w:val="top"/>
          </w:tcPr>
          <w:p>
            <w:pPr>
              <w:spacing w:after="40"/>
            </w:pPr>
            <w:r>
              <w:rPr>
                <w:rFonts w:ascii="Aptos" w:hAnsi="Aptos"/>
                <w:sz w:val="17"/>
              </w:rPr>
              <w:t>Model integrity/signing evidence</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T439</w:t>
            </w:r>
          </w:p>
        </w:tc>
        <w:tc>
          <w:tcPr>
            <w:tcW w:type="dxa" w:w="2520"/>
            <w:tcMar>
              <w:top w:w="80" w:type="dxa"/>
              <w:start w:w="100" w:type="dxa"/>
              <w:bottom w:w="80" w:type="dxa"/>
              <w:end w:w="100" w:type="dxa"/>
            </w:tcMar>
            <w:vAlign w:val="top"/>
          </w:tcPr>
          <w:p>
            <w:pPr>
              <w:spacing w:after="40"/>
            </w:pPr>
            <w:r>
              <w:rPr>
                <w:rFonts w:ascii="Aptos" w:hAnsi="Aptos"/>
                <w:sz w:val="17"/>
              </w:rPr>
              <w:t>Model repository access/change authority</w:t>
            </w:r>
          </w:p>
        </w:tc>
        <w:tc>
          <w:tcPr>
            <w:tcW w:type="dxa" w:w="2520"/>
            <w:tcMar>
              <w:top w:w="80" w:type="dxa"/>
              <w:start w:w="100" w:type="dxa"/>
              <w:bottom w:w="80" w:type="dxa"/>
              <w:end w:w="100" w:type="dxa"/>
            </w:tcMar>
            <w:vAlign w:val="top"/>
          </w:tcPr>
          <w:p>
            <w:pPr>
              <w:spacing w:after="40"/>
            </w:pPr>
            <w:r>
              <w:rPr>
                <w:rFonts w:ascii="Aptos" w:hAnsi="Aptos"/>
                <w:sz w:val="17"/>
              </w:rPr>
              <w:t>S2 IAM/MDS</w:t>
            </w:r>
          </w:p>
        </w:tc>
        <w:tc>
          <w:tcPr>
            <w:tcW w:type="dxa" w:w="2520"/>
            <w:tcMar>
              <w:top w:w="80" w:type="dxa"/>
              <w:start w:w="100" w:type="dxa"/>
              <w:bottom w:w="80" w:type="dxa"/>
              <w:end w:w="100" w:type="dxa"/>
            </w:tcMar>
            <w:vAlign w:val="top"/>
          </w:tcPr>
          <w:p>
            <w:pPr>
              <w:spacing w:after="40"/>
            </w:pPr>
            <w:r>
              <w:rPr>
                <w:rFonts w:ascii="Aptos" w:hAnsi="Aptos"/>
                <w:sz w:val="17"/>
              </w:rPr>
              <w:t>Repository access-control evidence</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T440</w:t>
            </w:r>
          </w:p>
        </w:tc>
        <w:tc>
          <w:tcPr>
            <w:tcW w:type="dxa" w:w="2520"/>
            <w:tcMar>
              <w:top w:w="80" w:type="dxa"/>
              <w:start w:w="100" w:type="dxa"/>
              <w:bottom w:w="80" w:type="dxa"/>
              <w:end w:w="100" w:type="dxa"/>
            </w:tcMar>
            <w:vAlign w:val="top"/>
          </w:tcPr>
          <w:p>
            <w:pPr>
              <w:spacing w:after="40"/>
            </w:pPr>
            <w:r>
              <w:rPr>
                <w:rFonts w:ascii="Aptos" w:hAnsi="Aptos"/>
                <w:sz w:val="17"/>
              </w:rPr>
              <w:t>Model adversarial threat analysis</w:t>
            </w:r>
          </w:p>
        </w:tc>
        <w:tc>
          <w:tcPr>
            <w:tcW w:type="dxa" w:w="2520"/>
            <w:tcMar>
              <w:top w:w="80" w:type="dxa"/>
              <w:start w:w="100" w:type="dxa"/>
              <w:bottom w:w="80" w:type="dxa"/>
              <w:end w:w="100" w:type="dxa"/>
            </w:tcMar>
            <w:vAlign w:val="top"/>
          </w:tcPr>
          <w:p>
            <w:pPr>
              <w:spacing w:after="40"/>
            </w:pPr>
            <w:r>
              <w:rPr>
                <w:rFonts w:ascii="Aptos" w:hAnsi="Aptos"/>
                <w:sz w:val="17"/>
              </w:rPr>
              <w:t>S2 MDS-06</w:t>
            </w:r>
          </w:p>
        </w:tc>
        <w:tc>
          <w:tcPr>
            <w:tcW w:type="dxa" w:w="2520"/>
            <w:tcMar>
              <w:top w:w="80" w:type="dxa"/>
              <w:start w:w="100" w:type="dxa"/>
              <w:bottom w:w="80" w:type="dxa"/>
              <w:end w:w="100" w:type="dxa"/>
            </w:tcMar>
            <w:vAlign w:val="top"/>
          </w:tcPr>
          <w:p>
            <w:pPr>
              <w:spacing w:after="40"/>
            </w:pPr>
            <w:r>
              <w:rPr>
                <w:rFonts w:ascii="Aptos" w:hAnsi="Aptos"/>
                <w:sz w:val="17"/>
              </w:rPr>
              <w:t>Model adversarial threat analysis</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T441</w:t>
            </w:r>
          </w:p>
        </w:tc>
        <w:tc>
          <w:tcPr>
            <w:tcW w:type="dxa" w:w="2520"/>
            <w:tcMar>
              <w:top w:w="80" w:type="dxa"/>
              <w:start w:w="100" w:type="dxa"/>
              <w:bottom w:w="80" w:type="dxa"/>
              <w:end w:w="100" w:type="dxa"/>
            </w:tcMar>
            <w:vAlign w:val="top"/>
          </w:tcPr>
          <w:p>
            <w:pPr>
              <w:spacing w:after="40"/>
            </w:pPr>
            <w:r>
              <w:rPr>
                <w:rFonts w:ascii="Aptos" w:hAnsi="Aptos"/>
                <w:sz w:val="17"/>
              </w:rPr>
              <w:t>Model hardening/adversarial robustness</w:t>
            </w:r>
          </w:p>
        </w:tc>
        <w:tc>
          <w:tcPr>
            <w:tcW w:type="dxa" w:w="2520"/>
            <w:tcMar>
              <w:top w:w="80" w:type="dxa"/>
              <w:start w:w="100" w:type="dxa"/>
              <w:bottom w:w="80" w:type="dxa"/>
              <w:end w:w="100" w:type="dxa"/>
            </w:tcMar>
            <w:vAlign w:val="top"/>
          </w:tcPr>
          <w:p>
            <w:pPr>
              <w:spacing w:after="40"/>
            </w:pPr>
            <w:r>
              <w:rPr>
                <w:rFonts w:ascii="Aptos" w:hAnsi="Aptos"/>
                <w:sz w:val="17"/>
              </w:rPr>
              <w:t>S2 MDS-07</w:t>
            </w:r>
          </w:p>
        </w:tc>
        <w:tc>
          <w:tcPr>
            <w:tcW w:type="dxa" w:w="2520"/>
            <w:tcMar>
              <w:top w:w="80" w:type="dxa"/>
              <w:start w:w="100" w:type="dxa"/>
              <w:bottom w:w="80" w:type="dxa"/>
              <w:end w:w="100" w:type="dxa"/>
            </w:tcMar>
            <w:vAlign w:val="top"/>
          </w:tcPr>
          <w:p>
            <w:pPr>
              <w:spacing w:after="40"/>
            </w:pPr>
            <w:r>
              <w:rPr>
                <w:rFonts w:ascii="Aptos" w:hAnsi="Aptos"/>
                <w:sz w:val="17"/>
              </w:rPr>
              <w:t>Model hardening report</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T442</w:t>
            </w:r>
          </w:p>
        </w:tc>
        <w:tc>
          <w:tcPr>
            <w:tcW w:type="dxa" w:w="2520"/>
            <w:tcMar>
              <w:top w:w="80" w:type="dxa"/>
              <w:start w:w="100" w:type="dxa"/>
              <w:bottom w:w="80" w:type="dxa"/>
              <w:end w:w="100" w:type="dxa"/>
            </w:tcMar>
            <w:vAlign w:val="top"/>
          </w:tcPr>
          <w:p>
            <w:pPr>
              <w:spacing w:after="40"/>
            </w:pPr>
            <w:r>
              <w:rPr>
                <w:rFonts w:ascii="Aptos" w:hAnsi="Aptos"/>
                <w:sz w:val="17"/>
              </w:rPr>
              <w:t>Secure model release integrity</w:t>
            </w:r>
          </w:p>
        </w:tc>
        <w:tc>
          <w:tcPr>
            <w:tcW w:type="dxa" w:w="2520"/>
            <w:tcMar>
              <w:top w:w="80" w:type="dxa"/>
              <w:start w:w="100" w:type="dxa"/>
              <w:bottom w:w="80" w:type="dxa"/>
              <w:end w:w="100" w:type="dxa"/>
            </w:tcMar>
            <w:vAlign w:val="top"/>
          </w:tcPr>
          <w:p>
            <w:pPr>
              <w:spacing w:after="40"/>
            </w:pPr>
            <w:r>
              <w:rPr>
                <w:rFonts w:ascii="Aptos" w:hAnsi="Aptos"/>
                <w:sz w:val="17"/>
              </w:rPr>
              <w:t>S2 MDS-02/03/04/05/13</w:t>
            </w:r>
          </w:p>
        </w:tc>
        <w:tc>
          <w:tcPr>
            <w:tcW w:type="dxa" w:w="2520"/>
            <w:tcMar>
              <w:top w:w="80" w:type="dxa"/>
              <w:start w:w="100" w:type="dxa"/>
              <w:bottom w:w="80" w:type="dxa"/>
              <w:end w:w="100" w:type="dxa"/>
            </w:tcMar>
            <w:vAlign w:val="top"/>
          </w:tcPr>
          <w:p>
            <w:pPr>
              <w:spacing w:after="40"/>
            </w:pPr>
            <w:r>
              <w:rPr>
                <w:rFonts w:ascii="Aptos" w:hAnsi="Aptos"/>
                <w:sz w:val="17"/>
              </w:rPr>
              <w:t>Secure model release package</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T443</w:t>
            </w:r>
          </w:p>
        </w:tc>
        <w:tc>
          <w:tcPr>
            <w:tcW w:type="dxa" w:w="2520"/>
            <w:tcMar>
              <w:top w:w="80" w:type="dxa"/>
              <w:start w:w="100" w:type="dxa"/>
              <w:bottom w:w="80" w:type="dxa"/>
              <w:end w:w="100" w:type="dxa"/>
            </w:tcMar>
            <w:vAlign w:val="top"/>
          </w:tcPr>
          <w:p>
            <w:pPr>
              <w:spacing w:after="40"/>
            </w:pPr>
            <w:r>
              <w:rPr>
                <w:rFonts w:ascii="Aptos" w:hAnsi="Aptos"/>
                <w:sz w:val="17"/>
              </w:rPr>
              <w:t>Model security monitoring/failure/open-model/retirement</w:t>
            </w:r>
          </w:p>
        </w:tc>
        <w:tc>
          <w:tcPr>
            <w:tcW w:type="dxa" w:w="2520"/>
            <w:tcMar>
              <w:top w:w="80" w:type="dxa"/>
              <w:start w:w="100" w:type="dxa"/>
              <w:bottom w:w="80" w:type="dxa"/>
              <w:end w:w="100" w:type="dxa"/>
            </w:tcMar>
            <w:vAlign w:val="top"/>
          </w:tcPr>
          <w:p>
            <w:pPr>
              <w:spacing w:after="40"/>
            </w:pPr>
            <w:r>
              <w:rPr>
                <w:rFonts w:ascii="Aptos" w:hAnsi="Aptos"/>
                <w:sz w:val="17"/>
              </w:rPr>
              <w:t>S2 MDS-10/11/12</w:t>
            </w:r>
          </w:p>
        </w:tc>
        <w:tc>
          <w:tcPr>
            <w:tcW w:type="dxa" w:w="2520"/>
            <w:tcMar>
              <w:top w:w="80" w:type="dxa"/>
              <w:start w:w="100" w:type="dxa"/>
              <w:bottom w:w="80" w:type="dxa"/>
              <w:end w:w="100" w:type="dxa"/>
            </w:tcMar>
            <w:vAlign w:val="top"/>
          </w:tcPr>
          <w:p>
            <w:pPr>
              <w:spacing w:after="40"/>
            </w:pPr>
            <w:r>
              <w:rPr>
                <w:rFonts w:ascii="Aptos" w:hAnsi="Aptos"/>
                <w:sz w:val="17"/>
              </w:rPr>
              <w:t>Model security operations/retirement standard</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T444</w:t>
            </w:r>
          </w:p>
        </w:tc>
        <w:tc>
          <w:tcPr>
            <w:tcW w:type="dxa" w:w="2520"/>
            <w:tcMar>
              <w:top w:w="80" w:type="dxa"/>
              <w:start w:w="100" w:type="dxa"/>
              <w:bottom w:w="80" w:type="dxa"/>
              <w:end w:w="100" w:type="dxa"/>
            </w:tcMar>
            <w:vAlign w:val="top"/>
          </w:tcPr>
          <w:p>
            <w:pPr>
              <w:spacing w:after="40"/>
            </w:pPr>
            <w:r>
              <w:rPr>
                <w:rFonts w:ascii="Aptos" w:hAnsi="Aptos"/>
                <w:sz w:val="17"/>
              </w:rPr>
              <w:t>Defensive AI use-case assessment</w:t>
            </w:r>
          </w:p>
        </w:tc>
        <w:tc>
          <w:tcPr>
            <w:tcW w:type="dxa" w:w="2520"/>
            <w:tcMar>
              <w:top w:w="80" w:type="dxa"/>
              <w:start w:w="100" w:type="dxa"/>
              <w:bottom w:w="80" w:type="dxa"/>
              <w:end w:w="100" w:type="dxa"/>
            </w:tcMar>
            <w:vAlign w:val="top"/>
          </w:tcPr>
          <w:p>
            <w:pPr>
              <w:spacing w:after="40"/>
            </w:pPr>
            <w:r>
              <w:rPr>
                <w:rFonts w:ascii="Aptos" w:hAnsi="Aptos"/>
                <w:sz w:val="17"/>
              </w:rPr>
              <w:t>S1 Defend</w:t>
            </w:r>
          </w:p>
        </w:tc>
        <w:tc>
          <w:tcPr>
            <w:tcW w:type="dxa" w:w="2520"/>
            <w:tcMar>
              <w:top w:w="80" w:type="dxa"/>
              <w:start w:w="100" w:type="dxa"/>
              <w:bottom w:w="80" w:type="dxa"/>
              <w:end w:w="100" w:type="dxa"/>
            </w:tcMar>
            <w:vAlign w:val="top"/>
          </w:tcPr>
          <w:p>
            <w:pPr>
              <w:spacing w:after="40"/>
            </w:pPr>
            <w:r>
              <w:rPr>
                <w:rFonts w:ascii="Aptos" w:hAnsi="Aptos"/>
                <w:sz w:val="17"/>
              </w:rPr>
              <w:t>Cyber-defense use-case assessment</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T445</w:t>
            </w:r>
          </w:p>
        </w:tc>
        <w:tc>
          <w:tcPr>
            <w:tcW w:type="dxa" w:w="2520"/>
            <w:tcMar>
              <w:top w:w="80" w:type="dxa"/>
              <w:start w:w="100" w:type="dxa"/>
              <w:bottom w:w="80" w:type="dxa"/>
              <w:end w:w="100" w:type="dxa"/>
            </w:tcMar>
            <w:vAlign w:val="top"/>
          </w:tcPr>
          <w:p>
            <w:pPr>
              <w:spacing w:after="40"/>
            </w:pPr>
            <w:r>
              <w:rPr>
                <w:rFonts w:ascii="Aptos" w:hAnsi="Aptos"/>
                <w:sz w:val="17"/>
              </w:rPr>
              <w:t>Defensive AI autonomy/oversight policy</w:t>
            </w:r>
          </w:p>
        </w:tc>
        <w:tc>
          <w:tcPr>
            <w:tcW w:type="dxa" w:w="2520"/>
            <w:tcMar>
              <w:top w:w="80" w:type="dxa"/>
              <w:start w:w="100" w:type="dxa"/>
              <w:bottom w:w="80" w:type="dxa"/>
              <w:end w:w="100" w:type="dxa"/>
            </w:tcMar>
            <w:vAlign w:val="top"/>
          </w:tcPr>
          <w:p>
            <w:pPr>
              <w:spacing w:after="40"/>
            </w:pPr>
            <w:r>
              <w:rPr>
                <w:rFonts w:ascii="Aptos" w:hAnsi="Aptos"/>
                <w:sz w:val="17"/>
              </w:rPr>
              <w:t>S1 Defend</w:t>
            </w:r>
          </w:p>
        </w:tc>
        <w:tc>
          <w:tcPr>
            <w:tcW w:type="dxa" w:w="2520"/>
            <w:tcMar>
              <w:top w:w="80" w:type="dxa"/>
              <w:start w:w="100" w:type="dxa"/>
              <w:bottom w:w="80" w:type="dxa"/>
              <w:end w:w="100" w:type="dxa"/>
            </w:tcMar>
            <w:vAlign w:val="top"/>
          </w:tcPr>
          <w:p>
            <w:pPr>
              <w:spacing w:after="40"/>
            </w:pPr>
            <w:r>
              <w:rPr>
                <w:rFonts w:ascii="Aptos" w:hAnsi="Aptos"/>
                <w:sz w:val="17"/>
              </w:rPr>
              <w:t>Autonomy and oversight policy</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T446</w:t>
            </w:r>
          </w:p>
        </w:tc>
        <w:tc>
          <w:tcPr>
            <w:tcW w:type="dxa" w:w="2520"/>
            <w:tcMar>
              <w:top w:w="80" w:type="dxa"/>
              <w:start w:w="100" w:type="dxa"/>
              <w:bottom w:w="80" w:type="dxa"/>
              <w:end w:w="100" w:type="dxa"/>
            </w:tcMar>
            <w:vAlign w:val="top"/>
          </w:tcPr>
          <w:p>
            <w:pPr>
              <w:spacing w:after="40"/>
            </w:pPr>
            <w:r>
              <w:rPr>
                <w:rFonts w:ascii="Aptos" w:hAnsi="Aptos"/>
                <w:sz w:val="17"/>
              </w:rPr>
              <w:t>Defensive AI quality validation</w:t>
            </w:r>
          </w:p>
        </w:tc>
        <w:tc>
          <w:tcPr>
            <w:tcW w:type="dxa" w:w="2520"/>
            <w:tcMar>
              <w:top w:w="80" w:type="dxa"/>
              <w:start w:w="100" w:type="dxa"/>
              <w:bottom w:w="80" w:type="dxa"/>
              <w:end w:w="100" w:type="dxa"/>
            </w:tcMar>
            <w:vAlign w:val="top"/>
          </w:tcPr>
          <w:p>
            <w:pPr>
              <w:spacing w:after="40"/>
            </w:pPr>
            <w:r>
              <w:rPr>
                <w:rFonts w:ascii="Aptos" w:hAnsi="Aptos"/>
                <w:sz w:val="17"/>
              </w:rPr>
              <w:t>S1 Defend</w:t>
            </w:r>
          </w:p>
        </w:tc>
        <w:tc>
          <w:tcPr>
            <w:tcW w:type="dxa" w:w="2520"/>
            <w:tcMar>
              <w:top w:w="80" w:type="dxa"/>
              <w:start w:w="100" w:type="dxa"/>
              <w:bottom w:w="80" w:type="dxa"/>
              <w:end w:w="100" w:type="dxa"/>
            </w:tcMar>
            <w:vAlign w:val="top"/>
          </w:tcPr>
          <w:p>
            <w:pPr>
              <w:spacing w:after="40"/>
            </w:pPr>
            <w:r>
              <w:rPr>
                <w:rFonts w:ascii="Aptos" w:hAnsi="Aptos"/>
                <w:sz w:val="17"/>
              </w:rPr>
              <w:t>Defensive AI validation report</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T447</w:t>
            </w:r>
          </w:p>
        </w:tc>
        <w:tc>
          <w:tcPr>
            <w:tcW w:type="dxa" w:w="2520"/>
            <w:tcMar>
              <w:top w:w="80" w:type="dxa"/>
              <w:start w:w="100" w:type="dxa"/>
              <w:bottom w:w="80" w:type="dxa"/>
              <w:end w:w="100" w:type="dxa"/>
            </w:tcMar>
            <w:vAlign w:val="top"/>
          </w:tcPr>
          <w:p>
            <w:pPr>
              <w:spacing w:after="40"/>
            </w:pPr>
            <w:r>
              <w:rPr>
                <w:rFonts w:ascii="Aptos" w:hAnsi="Aptos"/>
                <w:sz w:val="17"/>
              </w:rPr>
              <w:t>Defensive AI data/telemetry integrity</w:t>
            </w:r>
          </w:p>
        </w:tc>
        <w:tc>
          <w:tcPr>
            <w:tcW w:type="dxa" w:w="2520"/>
            <w:tcMar>
              <w:top w:w="80" w:type="dxa"/>
              <w:start w:w="100" w:type="dxa"/>
              <w:bottom w:w="80" w:type="dxa"/>
              <w:end w:w="100" w:type="dxa"/>
            </w:tcMar>
            <w:vAlign w:val="top"/>
          </w:tcPr>
          <w:p>
            <w:pPr>
              <w:spacing w:after="40"/>
            </w:pPr>
            <w:r>
              <w:rPr>
                <w:rFonts w:ascii="Aptos" w:hAnsi="Aptos"/>
                <w:sz w:val="17"/>
              </w:rPr>
              <w:t>S1/S2</w:t>
            </w:r>
          </w:p>
        </w:tc>
        <w:tc>
          <w:tcPr>
            <w:tcW w:type="dxa" w:w="2520"/>
            <w:tcMar>
              <w:top w:w="80" w:type="dxa"/>
              <w:start w:w="100" w:type="dxa"/>
              <w:bottom w:w="80" w:type="dxa"/>
              <w:end w:w="100" w:type="dxa"/>
            </w:tcMar>
            <w:vAlign w:val="top"/>
          </w:tcPr>
          <w:p>
            <w:pPr>
              <w:spacing w:after="40"/>
            </w:pPr>
            <w:r>
              <w:rPr>
                <w:rFonts w:ascii="Aptos" w:hAnsi="Aptos"/>
                <w:sz w:val="17"/>
              </w:rPr>
              <w:t>Defensive data-integrity controls</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T448</w:t>
            </w:r>
          </w:p>
        </w:tc>
        <w:tc>
          <w:tcPr>
            <w:tcW w:type="dxa" w:w="2520"/>
            <w:tcMar>
              <w:top w:w="80" w:type="dxa"/>
              <w:start w:w="100" w:type="dxa"/>
              <w:bottom w:w="80" w:type="dxa"/>
              <w:end w:w="100" w:type="dxa"/>
            </w:tcMar>
            <w:vAlign w:val="top"/>
          </w:tcPr>
          <w:p>
            <w:pPr>
              <w:spacing w:after="40"/>
            </w:pPr>
            <w:r>
              <w:rPr>
                <w:rFonts w:ascii="Aptos" w:hAnsi="Aptos"/>
                <w:sz w:val="17"/>
              </w:rPr>
              <w:t>Defensive AI adversarial testing</w:t>
            </w:r>
          </w:p>
        </w:tc>
        <w:tc>
          <w:tcPr>
            <w:tcW w:type="dxa" w:w="2520"/>
            <w:tcMar>
              <w:top w:w="80" w:type="dxa"/>
              <w:start w:w="100" w:type="dxa"/>
              <w:bottom w:w="80" w:type="dxa"/>
              <w:end w:w="100" w:type="dxa"/>
            </w:tcMar>
            <w:vAlign w:val="top"/>
          </w:tcPr>
          <w:p>
            <w:pPr>
              <w:spacing w:after="40"/>
            </w:pPr>
            <w:r>
              <w:rPr>
                <w:rFonts w:ascii="Aptos" w:hAnsi="Aptos"/>
                <w:sz w:val="17"/>
              </w:rPr>
              <w:t>S1 Defend/Thwart</w:t>
            </w:r>
          </w:p>
        </w:tc>
        <w:tc>
          <w:tcPr>
            <w:tcW w:type="dxa" w:w="2520"/>
            <w:tcMar>
              <w:top w:w="80" w:type="dxa"/>
              <w:start w:w="100" w:type="dxa"/>
              <w:bottom w:w="80" w:type="dxa"/>
              <w:end w:w="100" w:type="dxa"/>
            </w:tcMar>
            <w:vAlign w:val="top"/>
          </w:tcPr>
          <w:p>
            <w:pPr>
              <w:spacing w:after="40"/>
            </w:pPr>
            <w:r>
              <w:rPr>
                <w:rFonts w:ascii="Aptos" w:hAnsi="Aptos"/>
                <w:sz w:val="17"/>
              </w:rPr>
              <w:t>Defensive AI adversarial test report</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T449</w:t>
            </w:r>
          </w:p>
        </w:tc>
        <w:tc>
          <w:tcPr>
            <w:tcW w:type="dxa" w:w="2520"/>
            <w:tcMar>
              <w:top w:w="80" w:type="dxa"/>
              <w:start w:w="100" w:type="dxa"/>
              <w:bottom w:w="80" w:type="dxa"/>
              <w:end w:w="100" w:type="dxa"/>
            </w:tcMar>
            <w:vAlign w:val="top"/>
          </w:tcPr>
          <w:p>
            <w:pPr>
              <w:spacing w:after="40"/>
            </w:pPr>
            <w:r>
              <w:rPr>
                <w:rFonts w:ascii="Aptos" w:hAnsi="Aptos"/>
                <w:sz w:val="17"/>
              </w:rPr>
              <w:t>Defensive AI fallback/continuity</w:t>
            </w:r>
          </w:p>
        </w:tc>
        <w:tc>
          <w:tcPr>
            <w:tcW w:type="dxa" w:w="2520"/>
            <w:tcMar>
              <w:top w:w="80" w:type="dxa"/>
              <w:start w:w="100" w:type="dxa"/>
              <w:bottom w:w="80" w:type="dxa"/>
              <w:end w:w="100" w:type="dxa"/>
            </w:tcMar>
            <w:vAlign w:val="top"/>
          </w:tcPr>
          <w:p>
            <w:pPr>
              <w:spacing w:after="40"/>
            </w:pPr>
            <w:r>
              <w:rPr>
                <w:rFonts w:ascii="Aptos" w:hAnsi="Aptos"/>
                <w:sz w:val="17"/>
              </w:rPr>
              <w:t>S1 + S2/S3 BCR</w:t>
            </w:r>
          </w:p>
        </w:tc>
        <w:tc>
          <w:tcPr>
            <w:tcW w:type="dxa" w:w="2520"/>
            <w:tcMar>
              <w:top w:w="80" w:type="dxa"/>
              <w:start w:w="100" w:type="dxa"/>
              <w:bottom w:w="80" w:type="dxa"/>
              <w:end w:w="100" w:type="dxa"/>
            </w:tcMar>
            <w:vAlign w:val="top"/>
          </w:tcPr>
          <w:p>
            <w:pPr>
              <w:spacing w:after="40"/>
            </w:pPr>
            <w:r>
              <w:rPr>
                <w:rFonts w:ascii="Aptos" w:hAnsi="Aptos"/>
                <w:sz w:val="17"/>
              </w:rPr>
              <w:t>Fallback and continuity test</w:t>
            </w:r>
          </w:p>
        </w:tc>
      </w:tr>
      <w:tr>
        <w:trPr>
          <w:cantSplit/>
        </w:trPr>
        <w:tc>
          <w:tcPr>
            <w:tcW w:type="dxa" w:w="2520"/>
            <w:tcMar>
              <w:top w:w="80" w:type="dxa"/>
              <w:start w:w="100" w:type="dxa"/>
              <w:bottom w:w="80" w:type="dxa"/>
              <w:end w:w="100" w:type="dxa"/>
            </w:tcMar>
            <w:vAlign w:val="top"/>
          </w:tcPr>
          <w:p>
            <w:pPr>
              <w:spacing w:after="40"/>
            </w:pPr>
            <w:r>
              <w:rPr>
                <w:rFonts w:ascii="Aptos" w:hAnsi="Aptos"/>
                <w:sz w:val="17"/>
              </w:rPr>
              <w:t>T450</w:t>
            </w:r>
          </w:p>
        </w:tc>
        <w:tc>
          <w:tcPr>
            <w:tcW w:type="dxa" w:w="2520"/>
            <w:tcMar>
              <w:top w:w="80" w:type="dxa"/>
              <w:start w:w="100" w:type="dxa"/>
              <w:bottom w:w="80" w:type="dxa"/>
              <w:end w:w="100" w:type="dxa"/>
            </w:tcMar>
            <w:vAlign w:val="top"/>
          </w:tcPr>
          <w:p>
            <w:pPr>
              <w:spacing w:after="40"/>
            </w:pPr>
            <w:r>
              <w:rPr>
                <w:rFonts w:ascii="Aptos" w:hAnsi="Aptos"/>
                <w:sz w:val="17"/>
              </w:rPr>
              <w:t>Defensive AI continuous assurance/reauthorization</w:t>
            </w:r>
          </w:p>
        </w:tc>
        <w:tc>
          <w:tcPr>
            <w:tcW w:type="dxa" w:w="2520"/>
            <w:tcMar>
              <w:top w:w="80" w:type="dxa"/>
              <w:start w:w="100" w:type="dxa"/>
              <w:bottom w:w="80" w:type="dxa"/>
              <w:end w:w="100" w:type="dxa"/>
            </w:tcMar>
            <w:vAlign w:val="top"/>
          </w:tcPr>
          <w:p>
            <w:pPr>
              <w:spacing w:after="40"/>
            </w:pPr>
            <w:r>
              <w:rPr>
                <w:rFonts w:ascii="Aptos" w:hAnsi="Aptos"/>
                <w:sz w:val="17"/>
              </w:rPr>
              <w:t>S1/S3</w:t>
            </w:r>
          </w:p>
        </w:tc>
        <w:tc>
          <w:tcPr>
            <w:tcW w:type="dxa" w:w="2520"/>
            <w:tcMar>
              <w:top w:w="80" w:type="dxa"/>
              <w:start w:w="100" w:type="dxa"/>
              <w:bottom w:w="80" w:type="dxa"/>
              <w:end w:w="100" w:type="dxa"/>
            </w:tcMar>
            <w:vAlign w:val="top"/>
          </w:tcPr>
          <w:p>
            <w:pPr>
              <w:spacing w:after="40"/>
            </w:pPr>
            <w:r>
              <w:rPr>
                <w:rFonts w:ascii="Aptos" w:hAnsi="Aptos"/>
                <w:sz w:val="17"/>
              </w:rPr>
              <w:t>Continuous-assurance and reauthorization standard</w:t>
            </w:r>
          </w:p>
        </w:tc>
      </w:tr>
    </w:tbl>
    <w:p>
      <w:pPr>
        <w:pStyle w:val="Heading1"/>
      </w:pPr>
      <w:r>
        <w:t>Appendix B - Source Detail and Traceability Notes</w:t>
      </w:r>
    </w:p>
    <w:p>
      <w:r>
        <w:rPr>
          <w:b/>
          <w:color w:val="17365D"/>
        </w:rPr>
        <w:t>S1 - NIST IR 8596 iprd - Cybersecurity Framework Profile for Artificial Intelligence (Cyber AI Profile), Initial Preliminary Draft, December 2025</w:t>
      </w:r>
    </w:p>
    <w:p>
      <w:r>
        <w:t>Relevant source concepts: Executive Summary and Section 2.1 define Secure, Defend, and Thwart; the profile maps AI considerations to all six CSF 2.0 functions. Supply-chain sections emphasize origins/provenance of AI components and data, supplier due diligence, and ongoing monitoring. Respond/Recover sections address AI-specific incident artifacts, rollback/retraining, and recovery integrity. Because this is an Initial Preliminary Draft, Version 10 records draft status and refresh requirements.</w:t>
      </w:r>
    </w:p>
    <w:p>
      <w:pPr>
        <w:pStyle w:val="SourceNote"/>
      </w:pPr>
      <w:hyperlink r:id="rId11">
        <w:r>
          <w:rPr>
            <w:color w:val="0563C1"/>
            <w:u w:val="single"/>
          </w:rPr>
          <w:t>https://doi.org/10.6028/NIST.IR.8596.iprd</w:t>
        </w:r>
      </w:hyperlink>
    </w:p>
    <w:p>
      <w:r>
        <w:rPr>
          <w:b/>
          <w:color w:val="17365D"/>
        </w:rPr>
        <w:t>S2 - Cloud Security Alliance - AI Controls Matrix (AICM) v1.1.1 and Introductory Guidance to AICM v1.1 (2026)</w:t>
      </w:r>
    </w:p>
    <w:p>
      <w:r>
        <w:t>Relevant source concepts: AICM v1.1 contains 247 controls across 18 domains, is synchronized with CCM v4.1, and defines a five-actor SSRM. The Model Security domain contains 13 controls covering training pipeline security, model artifact scanning, model documentation, adversarial analysis/hardening, integrity checks, signing, continuous monitoring, model failure, open-model risk, and secure model format. AICM is designed for use with AI-CAIQ and STAR for AI to support assessment and shared-responsibility transparency.</w:t>
      </w:r>
    </w:p>
    <w:p>
      <w:pPr>
        <w:pStyle w:val="SourceNote"/>
      </w:pPr>
      <w:hyperlink r:id="rId12">
        <w:r>
          <w:rPr>
            <w:color w:val="0563C1"/>
            <w:u w:val="single"/>
          </w:rPr>
          <w:t>https://cloudsecurityalliance.org/artifacts/ai-controls-matrix-v1-1</w:t>
        </w:r>
      </w:hyperlink>
    </w:p>
    <w:p>
      <w:r>
        <w:rPr>
          <w:b/>
          <w:color w:val="17365D"/>
        </w:rPr>
        <w:t>S3 - Cloud Security Alliance - Cloud Controls Matrix (CCM) v4.1.0 and CCM v4.1 Implementation Guidelines v2.1 (2026)</w:t>
      </w:r>
    </w:p>
    <w:p>
      <w:r>
        <w:t>Relevant source concepts: CCM v4.1 contains 207 controls across 17 cloud-security domains, provides shared-responsibility ownership by IaaS/PaaS/SaaS, uses CAIQ for provider/customer assurance, and includes detailed supply-chain inventory/BOM guidance. Its Continuous Audit Metrics guidance explicitly connects metrics with control-effectiveness measurement, maturity, transparency, accountability, and continuous compliance.</w:t>
      </w:r>
    </w:p>
    <w:p>
      <w:pPr>
        <w:pStyle w:val="SourceNote"/>
      </w:pPr>
      <w:hyperlink r:id="rId13">
        <w:r>
          <w:rPr>
            <w:color w:val="0563C1"/>
            <w:u w:val="single"/>
          </w:rPr>
          <w:t>https://cloudsecurityalliance.org/research/cloud-controls-matrix</w:t>
        </w:r>
      </w:hyperlink>
    </w:p>
    <w:p>
      <w:r>
        <w:rPr>
          <w:b/>
          <w:color w:val="17365D"/>
        </w:rPr>
        <w:t>S4 - Regulation (EU) 2024/2847 - Cyber Resilience Act</w:t>
      </w:r>
    </w:p>
    <w:p>
      <w:r>
        <w:t>Relevant source concepts: the Cyber Resilience Act applies lifecycle cybersecurity requirements to products with digital elements in scope. It addresses third-party components, coordinated vulnerability disclosure, SBOM, security updates/support periods, technical documentation, conformity, and secure decommissioning. Version 10 therefore adds a conditional applicability assessment rather than treating CRA as universally applicable.</w:t>
      </w:r>
    </w:p>
    <w:p>
      <w:pPr>
        <w:pStyle w:val="SourceNote"/>
      </w:pPr>
      <w:hyperlink r:id="rId14">
        <w:r>
          <w:rPr>
            <w:color w:val="0563C1"/>
            <w:u w:val="single"/>
          </w:rPr>
          <w:t>https://eur-lex.europa.eu/eli/reg/2024/2847/oj</w:t>
        </w:r>
      </w:hyperlink>
    </w:p>
    <w:p>
      <w:pPr>
        <w:pStyle w:val="Heading1"/>
      </w:pPr>
      <w:r>
        <w:t>Appendix C - Workbook Reference</w:t>
      </w:r>
    </w:p>
    <w:p>
      <w:r>
        <w:t>Version 9 source workbook: Enterprise_AI_Implementation_Reference_Model_v9.xlsx</w:t>
      </w:r>
    </w:p>
    <w:p>
      <w:r>
        <w:t>Version 10 workbook: Enterprise_AI_Implementation_Reference_Model_v10.xlsx</w:t>
      </w:r>
    </w:p>
    <w:p>
      <w:r>
        <w:t>Version 10 contains 450 detailed tasks. The new task range is T427-T450. The new work packages are Phase 25, Phase 26, and Phase 27. The three new registers are AI Supply Chain SSRM, AI System BOM, and Control Effectiveness Metrics.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jc w:val="right"/>
    </w:pPr>
    <w:r>
      <w:t xml:space="preserve">Enterprise AI Implementation Reference Model v10  |  September 2026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jc w:val="right"/>
    </w:pPr>
    <w:r>
      <w:t>AI Implementation Reference Model  |  Version 9 to Version 10 Change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80"/>
    </w:pPr>
    <w:rPr>
      <w:rFonts w:ascii="Aptos" w:hAnsi="Aptos"/>
      <w:color w:val="595959"/>
      <w:sz w:val="17"/>
    </w:rPr>
  </w:style>
  <w:style w:type="paragraph" w:customStyle="1" w:styleId="Callout">
    <w:name w:val="Callout"/>
    <w:pPr>
      <w:spacing w:before="120" w:after="120"/>
      <w:ind w:left="288" w:right="288"/>
    </w:pPr>
    <w:rPr>
      <w:rFonts w:ascii="Aptos" w:hAnsi="Aptos"/>
      <w:b/>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6028/NIST.IR.8596.iprd" TargetMode="External"/><Relationship Id="rId12" Type="http://schemas.openxmlformats.org/officeDocument/2006/relationships/hyperlink" Target="https://cloudsecurityalliance.org/artifacts/ai-controls-matrix-v1-1" TargetMode="External"/><Relationship Id="rId13" Type="http://schemas.openxmlformats.org/officeDocument/2006/relationships/hyperlink" Target="https://cloudsecurityalliance.org/research/cloud-controls-matrix" TargetMode="External"/><Relationship Id="rId14" Type="http://schemas.openxmlformats.org/officeDocument/2006/relationships/hyperlink" Target="https://eur-lex.europa.eu/eli/reg/2024/2847/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AI Implementation Reference Model - Version 9 to Version 10 Change Report</dc:title>
  <dc:subject>Detailed change report with NIST, CSA, and EU CRA source basis</dc:subject>
  <dc:creator>OpenAI</dc:creator>
  <cp:keywords>Enterprise AI, implementation reference model, NIST Cyber AI, CSA AICM, CSA CCM, EU Cyber Resilience Act, version 10</cp:keywords>
  <dc:description>generated by python-docx</dc:description>
  <cp:lastModifiedBy/>
  <cp:revision>1</cp:revision>
  <dcterms:created xsi:type="dcterms:W3CDTF">2013-12-23T23:15:00Z</dcterms:created>
  <dcterms:modified xsi:type="dcterms:W3CDTF">2013-12-23T23:15:00Z</dcterms:modified>
  <cp:category/>
</cp:coreProperties>
</file>