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Implementation Reference Model Version 10 Implementation Guide</w:t>
      </w:r>
    </w:p>
    <w:p>
      <w:pPr>
        <w:pStyle w:val="Metadata"/>
      </w:pPr>
      <w:r>
        <w:t>A practical method for tailoring, executing, governing, and maintaining the 450 task reference model</w:t>
      </w:r>
    </w:p>
    <w:p>
      <w:pPr>
        <w:pStyle w:val="Metadata"/>
      </w:pPr>
      <w:r>
        <w:t>Prepared for Raymond Wah  |  September 2026  |  Companion to the v10 workbook and v9 to v10 change report</w:t>
      </w:r>
    </w:p>
    <w:p>
      <w:r>
        <w:t>This guide helps a sponsor, program manager, AI governance lead, security lead, architect, and delivery team turn the reference model into a project specific plan. Start with the business outcome and solution architecture, select applicable work, assign owners and evidence, rebaseline the schedule, and use the eight gates for explicit decisions. The workbook is a reference model; its 450 activities and illustrative dates are not a universal project mandate or ready made commitment.</w:t>
      </w:r>
    </w:p>
    <w:p>
      <w:pPr>
        <w:pStyle w:val="Heading1"/>
      </w:pPr>
      <w:r>
        <w:t>1  Package and operating principles</w:t>
      </w:r>
    </w:p>
    <w:tbl>
      <w:tblPr>
        <w:tblW w:type="auto" w:w="0"/>
        <w:jc w:val="center"/>
        <w:tblLayout w:type="fixed"/>
        <w:tblLook w:firstColumn="1" w:firstRow="1" w:lastColumn="0" w:lastRow="0" w:noHBand="0" w:noVBand="1" w:val="04A0"/>
      </w:tblPr>
      <w:tblGrid>
        <w:gridCol w:w="4176"/>
        <w:gridCol w:w="5443"/>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File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Use</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Enterprise_AI_Implementation_Reference_Model_v10.xlsx</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Authoritative master reference; 23 tabs, 28 work packages, T001–T450, eight gates and three new v10 registers.</w:t>
            </w:r>
          </w:p>
        </w:tc>
      </w:tr>
      <w:tr>
        <w:trPr>
          <w:cantSplit/>
        </w:trPr>
        <w:tc>
          <w:tcPr>
            <w:tcW w:type="dxa" w:w="417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Enterprise_AI_Implementation_Reference_Model_v10_Change_Report.docx</w:t>
            </w:r>
          </w:p>
        </w:tc>
        <w:tc>
          <w:tcPr>
            <w:tcW w:type="dxa" w:w="54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Design rationale and source crosswalk for v9 → v10. Read when explaining why a v10 control or task was introduced.</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This implementation guide</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Operating instructions. Apply alongside an organization’s current policies, contracts, legal advice and control evidence.</w:t>
            </w:r>
          </w:p>
        </w:tc>
      </w:tr>
    </w:tbl>
    <w:p>
      <w:pPr>
        <w:spacing w:after="20"/>
      </w:pPr>
    </w:p>
    <w:p>
      <w:r>
        <w:t>Maintain a read only master and create a controlled working copy for each implementation. Record the system identifier, sponsor, intended use, geographic scope, architecture pattern, source version, owner, baseline date, decisions and change history in the project repository. Do not alter the master simply to record a project specific exception.</w:t>
      </w:r>
    </w:p>
    <w:p>
      <w:r>
        <w:t>The main schedule is a coordination structure. Existing enterprise controls and evidence can satisfy a task when the owner verifies equivalent scope and effectiveness. A task may be completed, adapted, combined with another task, deferred with approval, or ruled not applicable with a documented reason. A framework citation explains the design basis; it does not, by itself, establish a legal obligation.</w:t>
      </w:r>
    </w:p>
    <w:p>
      <w:pPr>
        <w:pStyle w:val="Heading1"/>
      </w:pPr>
      <w:r>
        <w:t>2  First pass through the workbook</w:t>
      </w:r>
    </w:p>
    <w:tbl>
      <w:tblPr>
        <w:tblW w:type="auto" w:w="0"/>
        <w:jc w:val="center"/>
        <w:tblLayout w:type="fixed"/>
        <w:tblLook w:firstColumn="1" w:firstRow="1" w:lastColumn="0" w:lastRow="0" w:noHBand="0" w:noVBand="1" w:val="04A0"/>
      </w:tblPr>
      <w:tblGrid>
        <w:gridCol w:w="1210"/>
        <w:gridCol w:w="841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Read order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Tab and decision</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1</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Executive Summary and Enterprise Architecture: confirm the operating model, work packages and business context.</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2</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Planning Assumptions and Source Register: identify illustrative dates, conditional work, source versions and source limitations.</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3</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Integrated Project Schedule: filter by Phase, Workstream, Gate / Milestone, Control / Governance Reference and task ID.</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4</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Milestones &amp; Gates, Roles &amp; RACI, Deliverables Register: determine decision authorities and evidence expected at each gate.</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5</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 and Control Traceability: decide applicability and link controls to work and evidence.</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6</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Operational registers and Agile Delivery View: assign record owners and translate approved work into the delivery backlog.</w:t>
            </w:r>
          </w:p>
        </w:tc>
      </w:tr>
    </w:tbl>
    <w:p>
      <w:pPr>
        <w:spacing w:after="20"/>
      </w:pPr>
    </w:p>
    <w:p>
      <w:r>
        <w:t>Use the Integrated Project Schedule task ID as the persistent join key. The Deliverables Register repeats each task’s output and acceptance criteria. The Agile Delivery View repeats the task in delivery language; it does not create an extra task. Gate and register references must continue to point to the same task ID after tailoring.</w:t>
      </w:r>
    </w:p>
    <w:p>
      <w:pPr>
        <w:pStyle w:val="Heading1"/>
      </w:pPr>
      <w:r>
        <w:t>3  Tailor before scheduling</w:t>
      </w:r>
    </w:p>
    <w:p>
      <w:pPr>
        <w:pStyle w:val="Heading2"/>
      </w:pPr>
      <w:r>
        <w:t>3.1  Establish the implementation profile</w:t>
      </w:r>
    </w:p>
    <w:p>
      <w:pPr>
        <w:pStyle w:val="ListNumber"/>
      </w:pPr>
      <w:r>
        <w:t>Document the use case, business owner, measurable outcome, intended users, affected people, data classes, locations, critical processes, and actions the AI may take.</w:t>
      </w:r>
    </w:p>
    <w:p>
      <w:pPr>
        <w:pStyle w:val="ListNumber"/>
      </w:pPr>
      <w:r>
        <w:t>Classify the solution pattern: purchased AI SaaS, RAG on a hosted model, custom predictive ML, fine tuned model, single agent, multi agent, defensive AI, or a combination. Record provider and deployment architecture.</w:t>
      </w:r>
    </w:p>
    <w:p>
      <w:pPr>
        <w:pStyle w:val="ListNumber"/>
      </w:pPr>
      <w:r>
        <w:t>Assess impact, security, privacy, resilience, sector rules, contractual obligations and relevant jurisdictions with legal and control owners. Record applicability in Regulatory &amp; Framework Traceability, including rationale for an N/A determination.</w:t>
      </w:r>
    </w:p>
    <w:p>
      <w:pPr>
        <w:pStyle w:val="ListNumber"/>
      </w:pPr>
      <w:r>
        <w:t>Filter the schedule and classify every relevant task as apply, adapt, satisfied by existing control, conditional pending decision, or N/A. Keep a tailoring decision log in the working copy or project repository, keyed by task ID; the master schedule has no dedicated applicability column.</w:t>
      </w:r>
    </w:p>
    <w:p>
      <w:pPr>
        <w:pStyle w:val="ListNumber"/>
      </w:pPr>
      <w:r>
        <w:t>For each retained task, name an owner, deliverable, acceptance evidence, gate, dependency and planned date. Capture exclusions, inherited evidence and exceptions with reviewer and approval date.</w:t>
      </w:r>
    </w:p>
    <w:tbl>
      <w:tblPr>
        <w:tblW w:type="auto" w:w="0"/>
        <w:jc w:val="center"/>
        <w:tblLayout w:type="fixed"/>
        <w:tblLook w:firstColumn="1" w:firstRow="1" w:lastColumn="0" w:lastRow="0" w:noHBand="0" w:noVBand="1" w:val="04A0"/>
      </w:tblPr>
      <w:tblGrid>
        <w:gridCol w:w="1829"/>
        <w:gridCol w:w="4680"/>
        <w:gridCol w:w="3110"/>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Pattern</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Likely focus</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Typical conditional decision</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Purchased AI SaaS</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Vendor assessment, AI customer duties, data rights, access, integration, monitoring, exit and operational readiness.</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Provider owned training work in T435–T443 may be satisfied by provider assurance; document customer integration duties and evidence gaps.</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RAG on hosted model</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Source rights, provenance, ingestion, retrieval evaluation, prompt and tool controls, vector store, model/provider change and rollback.</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Fine tuning and custom training tasks apply only if performed.</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Custom ML or fine tuning</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Dataset separation, experiments T403–T426, pipeline and artifact security T435–T443, release integrity, drift and retraining.</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Document upstream provider versus internal model owner responsibility.</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Agentic workflow</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Capability and autonomy limits, identities, deterministic action authorization, telemetry, handoffs, testing and independent containment.</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Multi agent tasks apply when agents coordinate or delegate.</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used in SOC or cyber defense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Defensive use case, human oversight, detection quality, protected telemetry, adversarial testing, fallback and reauthorization.</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Activate T444–T450; otherwise record Phase 27 N/A.</w:t>
            </w:r>
          </w:p>
        </w:tc>
      </w:tr>
    </w:tbl>
    <w:p>
      <w:pPr>
        <w:spacing w:after="20"/>
      </w:pPr>
    </w:p>
    <w:p>
      <w:r>
        <w:t>A mixed architecture receives a combined profile. The security, data, operations and gate activities are selected from the actual system boundaries and effects, rather than from the solution label alone.</w:t>
      </w:r>
    </w:p>
    <w:p>
      <w:pPr>
        <w:pStyle w:val="Heading2"/>
      </w:pPr>
      <w:r>
        <w:t>3.2  Decide applicability of new v10 work</w:t>
      </w:r>
    </w:p>
    <w:tbl>
      <w:tblPr>
        <w:tblW w:type="auto" w:w="0"/>
        <w:jc w:val="center"/>
        <w:tblLayout w:type="fixed"/>
        <w:tblLook w:firstColumn="1" w:firstRow="1" w:lastColumn="0" w:lastRow="0" w:noHBand="0" w:noVBand="1" w:val="04A0"/>
      </w:tblPr>
      <w:tblGrid>
        <w:gridCol w:w="1440"/>
        <w:gridCol w:w="5227"/>
        <w:gridCol w:w="2952"/>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Task range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Practical selection rule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Primary working record</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T427–T428</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Assess whether NIST Cyber AI and CSA AICM/CCM are adopted as internal, contractual or assurance references; tailor their controls to the system.</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 Control Traceability</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T429–T432</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Use for a material AI supply chain: identify stack actors, assess providers, maintain dependencies and measure important controls. Scale depth to risk.</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Supply Chain SSRM; AI System BOM; Control Effectiveness Metrics</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Address credible AI enabled adversary scenarios within the system and enterprise threat model.</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Cybersecurity Readiness Register; threat model</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T434</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Have legal/product security decide EU CRA product and market scope; retain rationale even when out of scope.</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T435–T443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Apply directly where the enterprise builds or manages models or model artifacts; use supplier evidence and customer controls for purchased components.</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Experiment Register; SSRM; BOM</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T444–T450</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Apply only where AI performs or assists cybersecurity defense, including SOC and response workflows.</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Defensive AI assurance and Control Effectiveness Metrics</w:t>
            </w:r>
          </w:p>
        </w:tc>
      </w:tr>
    </w:tbl>
    <w:p>
      <w:pPr>
        <w:spacing w:after="20"/>
      </w:pPr>
    </w:p>
    <w:p>
      <w:pPr>
        <w:pStyle w:val="Heading1"/>
      </w:pPr>
      <w:r>
        <w:t>4  Set up ownership and shared responsibility</w:t>
      </w:r>
    </w:p>
    <w:p>
      <w:r>
        <w:t>The Roles &amp; RACI sheet assigns program level accountability. The Partner Responsibility Matrix describes delivery and partner handoffs. AI Supply Chain SSRM adds component and control level responsibility for Cloud Service Provider (CSP), Model Provider (MP), Orchestrated Service Provider (OSP), Application Provider (AP) and AI Customer (AIC). A company can occupy more than one role. Record the actual organization in each role instead of assuming that a brand name implies full control ownership.</w:t>
      </w:r>
    </w:p>
    <w:p>
      <w:pPr>
        <w:pStyle w:val="ListBullet"/>
      </w:pPr>
      <w:r>
        <w:t>List each material AI component and service in the BOM. Identify the provider, model/version, environment, trust source, connectivity and privileges.</w:t>
      </w:r>
    </w:p>
    <w:p>
      <w:pPr>
        <w:pStyle w:val="ListBullet"/>
      </w:pPr>
      <w:r>
        <w:t>For each material control, enter a row in AI Supply Chain SSRM with the component, CSA actor role, control owner, shared party, customer and provider obligations, contractual and technical evidence, incident duty, change notice and exit responsibility.</w:t>
      </w:r>
    </w:p>
    <w:p>
      <w:pPr>
        <w:pStyle w:val="ListBullet"/>
      </w:pPr>
      <w:r>
        <w:t>Check the contract, provider assurance response and technical configuration against the proposed split. Escalate gaps where neither side actually operates the control or supplies evidence.</w:t>
      </w:r>
    </w:p>
    <w:p>
      <w:pPr>
        <w:pStyle w:val="ListBullet"/>
      </w:pPr>
      <w:r>
        <w:t>Align the named internal accountable owner with Roles &amp; RACI and Partner Responsibility Matrix. Record provider evidence and residual risk before the architecture and production decisions.</w:t>
      </w:r>
    </w:p>
    <w:p>
      <w:r>
        <w:t>For example, a RAG assistant may use a cloud provider, a foundation model, an orchestration service and an internal application team. The provider might secure the base model, while the customer owns access to retrieved documents, tool permissions, output review, integration logs and use case monitoring. Confirm the exact allocation through the deployed service and contract.</w:t>
      </w:r>
    </w:p>
    <w:p>
      <w:pPr>
        <w:pStyle w:val="Heading1"/>
      </w:pPr>
      <w:r>
        <w:t>5  Run the schedule and the eight gates</w:t>
      </w:r>
    </w:p>
    <w:p>
      <w:r>
        <w:t>The schedule columns include task ID, phase, activity, duration, planned dates, predecessors, owner, supporting roles, deliverable, acceptance criteria, gate, priority, status, control reference, source basis and planning notes. Update a project copy after validating the dependencies with engineering and control owners. Recalculate dates from staffing, procurement, vendor lead times and gate capacity; the dates in the workbook are illustrative.</w:t>
      </w:r>
    </w:p>
    <w:tbl>
      <w:tblPr>
        <w:tblW w:type="auto" w:w="0"/>
        <w:jc w:val="center"/>
        <w:tblLayout w:type="fixed"/>
        <w:tblLook w:firstColumn="1" w:firstRow="1" w:lastColumn="0" w:lastRow="0" w:noHBand="0" w:noVBand="1" w:val="04A0"/>
      </w:tblPr>
      <w:tblGrid>
        <w:gridCol w:w="1930"/>
        <w:gridCol w:w="769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Gate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Decision and minimum evidence focus</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1  Mobilization</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Sponsor, scope, owners and inventory/risk baseline accepted.</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2  Architecture</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Target architecture, threat model, control design, telemetry, data and resilience scope accepted.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3  Authority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Capabilities, autonomy, identities, consequential actions and shutdown authority approved.</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4  Core build</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Infrastructure and deterministic action controls implemented and reviewed.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5  Telemetry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Agent/harness telemetry, monitoring and containment integrations ready.</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6  Security and evaluation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Material findings resolved or formally handled; boundary, adversarial, privacy and recovery testing accepted.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7  Operational readiness</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Runbooks, support, training, partner handoffs, incident response and BC/DR readiness complete.</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8  Production authorization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Canary, monitoring, rollback, containment and entry criteria support a recorded sponsor decision; unresolved critical security blockers prohibit authorization.</w:t>
            </w:r>
          </w:p>
        </w:tc>
      </w:tr>
    </w:tbl>
    <w:p>
      <w:pPr>
        <w:spacing w:after="20"/>
      </w:pPr>
    </w:p>
    <w:p>
      <w:r>
        <w:t>At each gate, the program manager compiles the Deliverables Register items and links to underlying artifacts, identifies open risks and exceptions, confirms control owner signoff, and records a decision of approve, approve with conditions, defer or reject. Conditions require an owner, deadline, monitoring and re-review. A task marked Complete without accepted evidence is not gate ready. For Gate 8, use the full entry and exit criteria in Milestones &amp; Gates, including cybersecurity, data, privacy, continuity and DR approvals.</w:t>
      </w:r>
    </w:p>
    <w:p>
      <w:r>
        <w:t>The Agile Delivery View maps the same tasks to epics, work item types, sprint waves, Definition of Ready and Definition of Done. Teams can split tasks into backlog items and iterate within approved boundaries; release level gates still require evidence and authorization. Update both views by task ID and reconcile status at each governance cadence.</w:t>
      </w:r>
    </w:p>
    <w:p>
      <w:pPr>
        <w:pStyle w:val="Heading1"/>
      </w:pPr>
      <w:r>
        <w:t>6  Work with the control and evidence registers</w:t>
      </w:r>
    </w:p>
    <w:p>
      <w:pPr>
        <w:pStyle w:val="Heading2"/>
      </w:pPr>
      <w:r>
        <w:t>6.1  Framework mapping</w:t>
      </w:r>
    </w:p>
    <w:p>
      <w:r>
        <w:t>Use Regulatory &amp; Framework Traceability to record whether each source applies, the implementation approach, task IDs, owner, evidence, validation and status. Use Control Traceability to connect a control domain with specific framework IDs, AI stack actor, lifecycle relevance, threat, test, cadence and applicability notes. The v10 rows for NIST IR 8596 map Secure, Defend and Thwart at an outcome level; they are not a complete subcategory by subcategory implementation matrix. Build a deeper control mapping only where project assurance or audit requires it.</w:t>
      </w:r>
    </w:p>
    <w:p>
      <w:r>
        <w:t>Treat NIST IR 8596 as an initial preliminary draft. Keep its version and review date with any mapping. CSA AICM and CCM are control references; adoption and applicability are risk based unless a contract or policy makes them binding. Determine EU CRA and EU AI Act obligations with the organization’s legal team. When two frameworks ask for the same outcome, link them to one implemented control and evidence object instead of creating duplicate execution tasks.</w:t>
      </w:r>
    </w:p>
    <w:p>
      <w:pPr>
        <w:pStyle w:val="Heading2"/>
      </w:pPr>
      <w:r>
        <w:t>6.2  Evidence and assurance</w:t>
      </w:r>
    </w:p>
    <w:tbl>
      <w:tblPr>
        <w:tblW w:type="auto" w:w="0"/>
        <w:jc w:val="center"/>
        <w:tblLayout w:type="fixed"/>
        <w:tblLook w:firstColumn="1" w:firstRow="1" w:lastColumn="0" w:lastRow="0" w:noHBand="0" w:noVBand="1" w:val="04A0"/>
      </w:tblPr>
      <w:tblGrid>
        <w:gridCol w:w="2952"/>
        <w:gridCol w:w="6667"/>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Register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How to complete it</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Cybersecurity Readiness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Record current/required state, finding, severity, remediation, owner, due date, evidence, exception and the new effectiveness metric, threshold and cadence or evidence age.</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Data Lifecycle; Data Protection &amp; Privacy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Identify asset, owner, use rights, classification, lineage, new supply chain trust source, access, retention, protection design and verification.</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Experiment</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Capture candidate, versioned data and configuration, baseline, metrics, thresholds, failures, decision and six new model security fields.</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Business Continuity; Disaster Recovery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Capture fallback and maximum tolerable downtime for the business process; capture technology RTO/RPO, trusted rebuild, recovery sequence and test evidence separately.</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Control Effectiveness Metrics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For material controls, define a measure or test, threshold, evidence source, owner, cadence, freshness limit, current result, trend and escalation or risk acceptance.</w:t>
            </w:r>
          </w:p>
        </w:tc>
      </w:tr>
    </w:tbl>
    <w:p>
      <w:pPr>
        <w:spacing w:after="20"/>
      </w:pPr>
    </w:p>
    <w:p>
      <w:r>
        <w:t>Use actual evidence pointers and dates in the project repository. A provider questionnaire alone does not prove that a customer configuration works; combine contractual assurance with configuration review, testing or telemetry as appropriate. Refresh evidence after significant system, provider, model, data or authority changes.</w:t>
      </w:r>
    </w:p>
    <w:p>
      <w:pPr>
        <w:pStyle w:val="Heading1"/>
      </w:pPr>
      <w:r>
        <w:t>7  Maintain the AI supply chain and model security lane</w:t>
      </w:r>
    </w:p>
    <w:p>
      <w:r>
        <w:t>The AI System BOM contains dependency ID, type, name, provider, version, environment, function, stack layer, provenance, sensitivity, criticality, connectivity, authority, vulnerability status, assurance, fallback, support date and change trigger. Seed it during architecture and procurement, then update it through build, release, incidents and retirement. Link a BOM record to the system inventory, vendor assessment, change ticket and SSRM control owner.</w:t>
      </w:r>
    </w:p>
    <w:p>
      <w:r>
        <w:t>For model development, use T435–T443 alongside T403–T426. Experiments establish quality, reproducibility and suitability; the new lane establishes pipeline and artifact protection, data integrity, signing or equivalent assurance, repository access, extraction/evasion analysis, hardening, release checks, monitoring and retirement. The Model Experiment Register has fields for pipeline security, artifact scan, threat analysis, signing/provenance, release integrity and security decision. A purchased model normally needs provider evidence for upstream work plus internal testing of integration and customer duties.</w:t>
      </w:r>
    </w:p>
    <w:p>
      <w:r>
        <w:t>Use AI-CAIQ, CAIQ, STAR/STAR for AI information or a comparable assessment where available for T430. Document missing evidence and ownership in the SSRM and vendor risk process. Reassess at major version, terms, region, model, tool permission or provider changes.</w:t>
      </w:r>
    </w:p>
    <w:p>
      <w:pPr>
        <w:pStyle w:val="Heading1"/>
      </w:pPr>
      <w:r>
        <w:t>8  Worked tailoring example for a purchased RAG assistant</w:t>
      </w:r>
    </w:p>
    <w:p>
      <w:r>
        <w:t>Scenario: an internal assistant retrieves approved policy documents from an enterprise repository and drafts answers for employees. A hosted foundation model and cloud search service are purchased; the assistant has no authority to update records. This is an illustrative profile, not a completed impact or legal assessment.</w:t>
      </w:r>
    </w:p>
    <w:tbl>
      <w:tblPr>
        <w:tblW w:type="auto" w:w="0"/>
        <w:jc w:val="center"/>
        <w:tblLayout w:type="fixed"/>
        <w:tblLook w:firstColumn="1" w:firstRow="1" w:lastColumn="0" w:lastRow="0" w:noHBand="0" w:noVBand="1" w:val="04A0"/>
      </w:tblPr>
      <w:tblGrid>
        <w:gridCol w:w="1958"/>
        <w:gridCol w:w="7661"/>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Decision</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Example project record</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Scope and outcome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Answer quality and employee time saved; approved document collection and users; no consequential tool actions.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Applicable work</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T001–T014 mobilization; discovery and architecture; relevant data rights, privacy, cyber readiness, vendor assurance, RAG experiments, testing, operations and gates. T427–T433 support risk based AI security assurance.</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Conditional work</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T434 CRA: legal review of product scope; likely N/A for an internal deployment if outside scope, with recorded rationale. T444–T450: N/A because the assistant is not a cyber defense tool. Custom training subactivities: N/A if no training/fine tuning occurs.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Shared responsibility</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provider covers base model controls supported by assurance; cloud provider covers service layer controls; AI customer owns repository permissions, retrieval content rights, connector configuration, prompt/tool policy, logs and human support.</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BOM and evidence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Record foundation and embedding models, search/index, vector store, connectors, prompt/policy version, source repository, identities, cloud region and security services. Link provider assurance and configuration/test evidence.</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Gate 8 decision</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Approve only after source access and answer evaluation, privacy/security tests, incident and fallback procedures, owner training, canary result and documented residual risk are accepted.</w:t>
            </w:r>
          </w:p>
        </w:tc>
      </w:tr>
    </w:tbl>
    <w:p>
      <w:pPr>
        <w:spacing w:after="20"/>
      </w:pPr>
    </w:p>
    <w:p>
      <w:r>
        <w:t>If the assistant later gains a write action, open a material change review. Reassess capability authority, deterministic action control, threat model, testing, SSRM, BOM, metrics and gate approval before expanding production authority.</w:t>
      </w:r>
    </w:p>
    <w:p>
      <w:pPr>
        <w:pStyle w:val="Heading1"/>
      </w:pPr>
      <w:r>
        <w:t>9  Measurement, exceptions and change control</w:t>
      </w:r>
    </w:p>
    <w:p>
      <w:r>
        <w:t>Select a small number of metrics that reveal whether the most important controls work. Illustrative measures include ownership coverage for critical AI dependencies, BOM completeness, age of supplier evidence, unresolved critical findings, percentage of consequential actions with authorization records, test coverage, recovery exercise results and model security checks before promotion. Define a denominator, threshold, owner and response to a breach for every quantitative measure. Do not treat sample targets in the register as universal policy.</w:t>
      </w:r>
    </w:p>
    <w:p>
      <w:r>
        <w:t>Record an exception with affected task/control, reason, compensating control, impact, approver, expiry, monitoring, closure owner and gate consequence. An exception does not override a mandatory legal or contractual requirement. The sponsor and relevant control authority decide residual risk according to organizational policy.</w:t>
      </w:r>
    </w:p>
    <w:p>
      <w:r>
        <w:t>Review the profile at intake, architecture approval, provider selection, model or tool change, new data use, expanded autonomy, production release, significant incident and periodic operations. Version the project working copy and evidence index; retain the prior decision and reason when applicability changes. Refresh NIST draft mapping when the source changes materially and reconcile CSA control version updates before claiming an exact control mapping.</w:t>
      </w:r>
    </w:p>
    <w:p>
      <w:pPr>
        <w:pStyle w:val="Heading1"/>
      </w:pPr>
      <w:r>
        <w:t>10  Pre use quality checks for the v10 workbook</w:t>
      </w:r>
    </w:p>
    <w:p>
      <w:r>
        <w:t>Before using the attached workbook as an executable baseline, the project manager should resolve the following specific points in a controlled working copy. These are planning and usability checks; they do not change the conceptual v10 model.</w:t>
      </w:r>
    </w:p>
    <w:tbl>
      <w:tblPr>
        <w:tblW w:type="auto" w:w="0"/>
        <w:jc w:val="center"/>
        <w:tblLayout w:type="fixed"/>
        <w:tblLook w:firstColumn="1" w:firstRow="1" w:lastColumn="0" w:lastRow="0" w:noHBand="0" w:noVBand="1" w:val="04A0"/>
      </w:tblPr>
      <w:tblGrid>
        <w:gridCol w:w="1656"/>
        <w:gridCol w:w="3744"/>
        <w:gridCol w:w="4219"/>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Check</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Observed in supplied v10</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Action</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Dates</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Executive Summary shows illustrative finish of 6 May 2027, while Gate 7 and Gate 8 target 18 May and 22 June 2027. New phase task dates are stored as Excel serials in some cells.</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Set one governed baseline after sequencing the gate decisions and deliverables. Apply consistent date formatting and confirm predecessors, especially new v10 tasks.</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Schedule status</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Status dropdown validation covers R2:R403 and R404:R427; new T427–T450 rows have no status dropdown. Older rows do not all offer N/A.</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Extend a consistent status validation to all task rows in a project copy and create a separate applicability log. Avoid silently inserting N/A into a restricted cell.</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Traceability granularity</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NIST Cyber AI and CSA rows give outcome/domain level links, and many older Control Traceability rows lack v10 detail fields.</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Map control IDs only to the granularity needed for the adopted assurance scope; populate owners, tests and evidence for the controls actually relied upon.</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Resource and gate logic</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Durations and planned dates are illustrative; some new task dependencies need project specific validation.</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Confirm staffing, procurement lead times, dependency logic, gate approvers and any cross workstream critical path before publishing a plan.</w:t>
            </w:r>
          </w:p>
        </w:tc>
      </w:tr>
    </w:tbl>
    <w:p>
      <w:pPr>
        <w:spacing w:after="20"/>
      </w:pPr>
    </w:p>
    <w:p>
      <w:r>
        <w:br w:type="page"/>
      </w:r>
    </w:p>
    <w:p>
      <w:pPr>
        <w:pStyle w:val="Heading1"/>
      </w:pPr>
      <w:r>
        <w:t>11  Source basis and limitations</w:t>
      </w:r>
    </w:p>
    <w:tbl>
      <w:tblPr>
        <w:tblW w:type="auto" w:w="0"/>
        <w:jc w:val="center"/>
        <w:tblLayout w:type="fixed"/>
        <w:tblLook w:firstColumn="1" w:firstRow="1" w:lastColumn="0" w:lastRow="0" w:noHBand="0" w:noVBand="1" w:val="04A0"/>
      </w:tblPr>
      <w:tblGrid>
        <w:gridCol w:w="4651"/>
        <w:gridCol w:w="4968"/>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Source supplied with the model</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Use in this guide and v10</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NIST IR 8596 iprd, Cybersecurity Framework Profile for Artificial Intelligence, initial preliminary draft, December 2025</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Secure, Defend and Thwart framing; AI specific cybersecurity mapping and conditional defensive AI. Draft content may change.</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CSA AI Controls Matrix v1.1.1 workbook and Introductory Guidance to AICM v1.1</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control applicability, five actor shared security responsibility, AI provider assurance and model development security MDS controls.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CSA Cloud Controls Matrix v4.1.0 workbook and CCM v4.1 Implementation Guidelines v2.1</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Cloud responsibility, supplier/dependency assurance and continuous control effectiveness.</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Regulation (EU) 2024/2847, Cyber Resilience Act</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Conditional product with digital elements applicability and lifecycle product cybersecurity concepts.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 AI Implementation Reference Model v9 and v10; Version 10 Change Report</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Workbook structure, task IDs, gate definitions, new register schema and documented change rationale.</w:t>
            </w:r>
          </w:p>
        </w:tc>
      </w:tr>
    </w:tbl>
    <w:p>
      <w:pPr>
        <w:spacing w:after="20"/>
      </w:pPr>
    </w:p>
    <w:p>
      <w:r>
        <w:t>Official source locations recorded in the workbook Source Register and Regulatory &amp; Framework Traceability include https://doi.org/10.6028/NIST.IR.8596.iprd, https://cloudsecurityalliance.org/artifacts/ai-controls-matrix-v1-1, https://cloudsecurityalliance.org/research/cloud-controls-matrix, and https://eur-lex.europa.eu/eli/reg/2024/2847/oj. For exact control wording, applicability or legal interpretation, consult the source version, relevant policy and qualified owner. This guide is an implementation aid, not a certification or conformity claim.</w:t>
      </w:r>
    </w:p>
    <w:p>
      <w:pPr>
        <w:pStyle w:val="Heading1"/>
      </w:pPr>
      <w:r>
        <w:t>Appendix  Project kickoff checklist</w:t>
      </w:r>
    </w:p>
    <w:p>
      <w:pPr>
        <w:pStyle w:val="ListBullet"/>
      </w:pPr>
      <w:r>
        <w:t>System, sponsor, outcome, users, jurisdictions, criticality and solution pattern documented.</w:t>
      </w:r>
    </w:p>
    <w:p>
      <w:pPr>
        <w:pStyle w:val="ListBullet"/>
      </w:pPr>
      <w:r>
        <w:t>Working copy created and dates, predecessor logic, statuses and gates rebaselined.</w:t>
      </w:r>
    </w:p>
    <w:p>
      <w:pPr>
        <w:pStyle w:val="ListBullet"/>
      </w:pPr>
      <w:r>
        <w:t>Applicable tasks selected, adapted or excluded with task ID, rationale, owner and approval.</w:t>
      </w:r>
    </w:p>
    <w:p>
      <w:pPr>
        <w:pStyle w:val="ListBullet"/>
      </w:pPr>
      <w:r>
        <w:t>Provider actors and responsibilities reconciled among RACI, partner matrix and SSRM.</w:t>
      </w:r>
    </w:p>
    <w:p>
      <w:pPr>
        <w:pStyle w:val="ListBullet"/>
      </w:pPr>
      <w:r>
        <w:t>BOM seeded, provider assurance requested, source rights and trust assessed.</w:t>
      </w:r>
    </w:p>
    <w:p>
      <w:pPr>
        <w:pStyle w:val="ListBullet"/>
      </w:pPr>
      <w:r>
        <w:t>Framework applicability and source versions recorded; mandatory obligations reviewed by legal/compliance.</w:t>
      </w:r>
    </w:p>
    <w:p>
      <w:pPr>
        <w:pStyle w:val="ListBullet"/>
      </w:pPr>
      <w:r>
        <w:t>Evidence locations, gate approvers, exceptions and control effectiveness measures assigned.</w:t>
      </w:r>
    </w:p>
    <w:p>
      <w:pPr>
        <w:pStyle w:val="ListBullet"/>
      </w:pPr>
      <w:r>
        <w:t>Delivery backlog reconciled with the schedule and the next gate decision date confirmed.</w:t>
      </w:r>
    </w:p>
    <w:sectPr w:rsidR="00FC693F" w:rsidRPr="0006063C" w:rsidSect="00034616">
      <w:headerReference w:type="default" r:id="rId9"/>
      <w:footerReference w:type="default" r:id="rId10"/>
      <w:pgSz w:w="12240" w:h="15840"/>
      <w:pgMar w:top="1094" w:right="1238" w:bottom="1008"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Implementation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505A"/>
        <w:sz w:val="16"/>
      </w:rPr>
      <w:t>Enterprise AI Implementation Reference Model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Aptos" w:hAnsi="Aptos"/>
      <w:color w:val="191F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0"/>
    </w:pPr>
    <w:rPr>
      <w:rFonts w:ascii="Aptos" w:hAnsi="Aptos"/>
      <w:color w:val="3C46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