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Pencatatan Kebun &amp; Traceability Batch</w:t>
      </w:r>
    </w:p>
    <w:p>
      <w:pPr>
        <w:jc w:val="center"/>
      </w:pPr>
      <w:r>
        <w:rPr>
          <w:i/>
          <w:color w:val="444444"/>
          <w:sz w:val="22"/>
        </w:rPr>
        <w:t>Dokumen terpisah | dipakai harian dan saat pengiriman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Setup awal (sekali di awal / saat ada lahan baru)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Peta blok tersedia dan dipahami tim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Kode blok terpasang di lapang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 catatan harian disepakati (kertas/HP)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Struktur folder arsip dibuat (per bulan/per blok)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 kode batch disepakati &amp; label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Harian (5–10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Kegiatan utama per blok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Pemakaian input ditulis angka (kg/liter) + blok + tujuan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Tenaga kerja dicatat minimal org×jam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Kondisi penting dicatat (air/OPT/kerusakan)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Minimal 1 foto bukti per blok (jika ada kegiatan penting)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 (rekap)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Rekap input per blok selesai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Rekap biaya tenaga kerja per blok selesai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Rekap panen + grade + susut selesai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Ringkasan masalah utama (OPT/air)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Panen &amp; pengiriman (traceability)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Wadah panen berlabel batch (komoditas+blok+periode)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Batch tidak tercampur di pascapanen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grade &amp; berat tercantum di packing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kirim + batch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Komplain/retur dicatat dan ditindaklanjuti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