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SOP 25 — Pemasaran &amp; Penjualan: Pilih Channel, Jaga Harga Net, dan Scale Up</w:t>
      </w:r>
    </w:p>
    <w:p>
      <w:pPr>
        <w:jc w:val="center"/>
      </w:pPr>
      <w:r>
        <w:rPr>
          <w:i/>
          <w:color w:val="444444"/>
          <w:sz w:val="22"/>
        </w:rPr>
        <w:t>Untuk padi • cabai • jagung • kangkung | Dokumen operasional (siap dipakai)</w:t>
      </w:r>
    </w:p>
    <w:p>
      <w:r>
        <w:t>Dokumen ini mengatur cara jualan yang rapi supaya kamu tidak capek kejar-kejaran buyer, dan supaya harga NET yang masuk tetap sehat. Banyak petani fokus ‘harga jual’, tapi lupa biaya jual. SOP ini membantu kamu memilih channel, test pasar dengan batch kecil, lalu scale up bertahap.</w:t>
      </w:r>
    </w:p>
    <w:p/>
    <w:p>
      <w:r>
        <w:t>Prinsipnya: pilih 2 channel dulu (cash cepat + harga net bagus), stabilkan mutu, lalu baru naik volume.</w:t>
      </w:r>
    </w:p>
    <w:p/>
    <w:p>
      <w:r>
        <w:rPr>
          <w:b/>
          <w:color w:val="1F4E79"/>
          <w:sz w:val="28"/>
        </w:rPr>
        <w:t>Channel penjualan: plus-minus</w:t>
      </w:r>
    </w:p>
    <w:p>
      <w:pPr>
        <w:jc w:val="center"/>
      </w:pPr>
      <w:r>
        <w:drawing>
          <wp:inline xmlns:a="http://schemas.openxmlformats.org/drawingml/2006/main" xmlns:pic="http://schemas.openxmlformats.org/drawingml/2006/picture">
            <wp:extent cx="6309360" cy="2563178"/>
            <wp:docPr id="1" name="Picture 1"/>
            <wp:cNvGraphicFramePr>
              <a:graphicFrameLocks noChangeAspect="1"/>
            </wp:cNvGraphicFramePr>
            <a:graphic>
              <a:graphicData uri="http://schemas.openxmlformats.org/drawingml/2006/picture">
                <pic:pic>
                  <pic:nvPicPr>
                    <pic:cNvPr id="0" name="sop25_channel_matrix.png"/>
                    <pic:cNvPicPr/>
                  </pic:nvPicPr>
                  <pic:blipFill>
                    <a:blip r:embed="rId9"/>
                    <a:stretch>
                      <a:fillRect/>
                    </a:stretch>
                  </pic:blipFill>
                  <pic:spPr>
                    <a:xfrm>
                      <a:off x="0" y="0"/>
                      <a:ext cx="6309360" cy="2563178"/>
                    </a:xfrm>
                    <a:prstGeom prst="rect"/>
                  </pic:spPr>
                </pic:pic>
              </a:graphicData>
            </a:graphic>
          </wp:inline>
        </w:drawing>
      </w:r>
    </w:p>
    <w:p/>
    <w:p>
      <w:r>
        <w:rPr>
          <w:b/>
          <w:color w:val="1F4E79"/>
          <w:sz w:val="28"/>
        </w:rPr>
        <w:t>Alur penjualan yang rapi (ringkas)</w:t>
      </w:r>
    </w:p>
    <w:p>
      <w:pPr>
        <w:jc w:val="center"/>
      </w:pPr>
      <w:r>
        <w:drawing>
          <wp:inline xmlns:a="http://schemas.openxmlformats.org/drawingml/2006/main" xmlns:pic="http://schemas.openxmlformats.org/drawingml/2006/picture">
            <wp:extent cx="6309360" cy="2366010"/>
            <wp:docPr id="2" name="Picture 2"/>
            <wp:cNvGraphicFramePr>
              <a:graphicFrameLocks noChangeAspect="1"/>
            </wp:cNvGraphicFramePr>
            <a:graphic>
              <a:graphicData uri="http://schemas.openxmlformats.org/drawingml/2006/picture">
                <pic:pic>
                  <pic:nvPicPr>
                    <pic:cNvPr id="0" name="sop25_sales_flow.png"/>
                    <pic:cNvPicPr/>
                  </pic:nvPicPr>
                  <pic:blipFill>
                    <a:blip r:embed="rId10"/>
                    <a:stretch>
                      <a:fillRect/>
                    </a:stretch>
                  </pic:blipFill>
                  <pic:spPr>
                    <a:xfrm>
                      <a:off x="0" y="0"/>
                      <a:ext cx="6309360" cy="2366010"/>
                    </a:xfrm>
                    <a:prstGeom prst="rect"/>
                  </pic:spPr>
                </pic:pic>
              </a:graphicData>
            </a:graphic>
          </wp:inline>
        </w:drawing>
      </w:r>
    </w:p>
    <w:p/>
    <w:p>
      <w:r>
        <w:rPr>
          <w:b/>
          <w:color w:val="1F4E79"/>
          <w:sz w:val="28"/>
        </w:rPr>
        <w:t>Hasil akhir yang ingin dicapai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2CC"/>
          </w:tcPr>
          <w:p>
            <w:r/>
            <w:r>
              <w:rPr>
                <w:b/>
                <w:color w:val="1F4E79"/>
              </w:rPr>
              <w:t>Yang dicapai</w:t>
            </w:r>
          </w:p>
        </w:tc>
        <w:tc>
          <w:tcPr>
            <w:tcW w:type="dxa" w:w="2880"/>
            <w:shd w:val="clear" w:color="auto" w:fill="FFF2CC"/>
          </w:tcPr>
          <w:p>
            <w:r/>
            <w:r>
              <w:rPr>
                <w:b/>
                <w:color w:val="1F4E79"/>
              </w:rPr>
              <w:t>Tanda terlihat</w:t>
            </w:r>
          </w:p>
        </w:tc>
        <w:tc>
          <w:tcPr>
            <w:tcW w:type="dxa" w:w="2880"/>
            <w:shd w:val="clear" w:color="auto" w:fill="FFF2CC"/>
          </w:tcPr>
          <w:p>
            <w:r/>
            <w:r>
              <w:rPr>
                <w:b/>
                <w:color w:val="1F4E79"/>
              </w:rPr>
              <w:t>Bukti/catatan</w:t>
            </w:r>
          </w:p>
        </w:tc>
      </w:tr>
      <w:tr>
        <w:tc>
          <w:tcPr>
            <w:tcW w:type="dxa" w:w="2880"/>
          </w:tcPr>
          <w:p>
            <w:r>
              <w:t>Punya buyer rutin</w:t>
            </w:r>
          </w:p>
        </w:tc>
        <w:tc>
          <w:tcPr>
            <w:tcW w:type="dxa" w:w="2880"/>
          </w:tcPr>
          <w:p>
            <w:r>
              <w:t>order repeat naik</w:t>
            </w:r>
          </w:p>
        </w:tc>
        <w:tc>
          <w:tcPr>
            <w:tcW w:type="dxa" w:w="2880"/>
          </w:tcPr>
          <w:p>
            <w:r>
              <w:t>Rekap order per buyer</w:t>
            </w:r>
          </w:p>
        </w:tc>
      </w:tr>
      <w:tr>
        <w:tc>
          <w:tcPr>
            <w:tcW w:type="dxa" w:w="2880"/>
          </w:tcPr>
          <w:p>
            <w:r>
              <w:t>Harga net sehat</w:t>
            </w:r>
          </w:p>
        </w:tc>
        <w:tc>
          <w:tcPr>
            <w:tcW w:type="dxa" w:w="2880"/>
          </w:tcPr>
          <w:p>
            <w:r>
              <w:t>net/kg di atas harga minimum</w:t>
            </w:r>
          </w:p>
        </w:tc>
        <w:tc>
          <w:tcPr>
            <w:tcW w:type="dxa" w:w="2880"/>
          </w:tcPr>
          <w:p>
            <w:r>
              <w:t>Rekap net/kg (SOP 23)</w:t>
            </w:r>
          </w:p>
        </w:tc>
      </w:tr>
      <w:tr>
        <w:tc>
          <w:tcPr>
            <w:tcW w:type="dxa" w:w="2880"/>
          </w:tcPr>
          <w:p>
            <w:r>
              <w:t>Komplain terkendali</w:t>
            </w:r>
          </w:p>
        </w:tc>
        <w:tc>
          <w:tcPr>
            <w:tcW w:type="dxa" w:w="2880"/>
          </w:tcPr>
          <w:p>
            <w:r>
              <w:t>retur rendah</w:t>
            </w:r>
          </w:p>
        </w:tc>
        <w:tc>
          <w:tcPr>
            <w:tcW w:type="dxa" w:w="2880"/>
          </w:tcPr>
          <w:p>
            <w:r>
              <w:t>Log komplain (SOP 22)</w:t>
            </w:r>
          </w:p>
        </w:tc>
      </w:tr>
      <w:tr>
        <w:tc>
          <w:tcPr>
            <w:tcW w:type="dxa" w:w="2880"/>
          </w:tcPr>
          <w:p>
            <w:r>
              <w:t>Scale up bertahap</w:t>
            </w:r>
          </w:p>
        </w:tc>
        <w:tc>
          <w:tcPr>
            <w:tcW w:type="dxa" w:w="2880"/>
          </w:tcPr>
          <w:p>
            <w:r>
              <w:t>volume naik tanpa chaos</w:t>
            </w:r>
          </w:p>
        </w:tc>
        <w:tc>
          <w:tcPr>
            <w:tcW w:type="dxa" w:w="2880"/>
          </w:tcPr>
          <w:p>
            <w:r>
              <w:t>Rencana scale up + KPI</w:t>
            </w:r>
          </w:p>
        </w:tc>
      </w:tr>
    </w:tbl>
    <w:p/>
    <w:p>
      <w:r>
        <w:rPr>
          <w:b/>
          <w:color w:val="1F4E79"/>
          <w:sz w:val="28"/>
        </w:rPr>
        <w:t>Aturan emas (wajib)</w:t>
      </w:r>
    </w:p>
    <w:p>
      <w:pPr>
        <w:pStyle w:val="ListBullet"/>
      </w:pPr>
      <w:r>
        <w:t>Mulai dari kecil (batch test) lalu scale up berdasarkan data.</w:t>
      </w:r>
    </w:p>
    <w:p>
      <w:pPr>
        <w:pStyle w:val="ListBullet"/>
      </w:pPr>
      <w:r>
        <w:t>Pilih 2 channel: 1 untuk cash cepat, 1 untuk harga net lebih bagus.</w:t>
      </w:r>
    </w:p>
    <w:p>
      <w:pPr>
        <w:pStyle w:val="ListBullet"/>
      </w:pPr>
      <w:r>
        <w:t>Selalu hitung net/kg dan bandingkan dengan harga minimum (SOP 23).</w:t>
      </w:r>
    </w:p>
    <w:p>
      <w:pPr>
        <w:pStyle w:val="ListBullet"/>
      </w:pPr>
      <w:r>
        <w:t>Jualan itu sistem: prospek → sampel → standar → kirim → evaluasi → scale.</w:t>
      </w:r>
    </w:p>
    <w:p>
      <w:pPr>
        <w:pStyle w:val="ListBullet"/>
      </w:pPr>
      <w:r>
        <w:t>Kalau mutu belum stabil, jangan buru-buru masuk channel standar tinggi.</w:t>
      </w:r>
    </w:p>
    <w:p/>
    <w:p>
      <w:r>
        <w:rPr>
          <w:b/>
          <w:color w:val="1F4E79"/>
          <w:sz w:val="28"/>
        </w:rPr>
        <w:t>Yang perlu disiapkan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AD3"/>
          </w:tcPr>
          <w:p>
            <w:r/>
            <w:r>
              <w:rPr>
                <w:b/>
                <w:color w:val="1F4E79"/>
              </w:rPr>
              <w:t>Kategori</w:t>
            </w:r>
          </w:p>
        </w:tc>
        <w:tc>
          <w:tcPr>
            <w:tcW w:type="dxa" w:w="2880"/>
            <w:shd w:val="clear" w:color="auto" w:fill="D9EAD3"/>
          </w:tcPr>
          <w:p>
            <w:r/>
            <w:r>
              <w:rPr>
                <w:b/>
                <w:color w:val="1F4E79"/>
              </w:rPr>
              <w:t>Yang disiapkan</w:t>
            </w:r>
          </w:p>
        </w:tc>
        <w:tc>
          <w:tcPr>
            <w:tcW w:type="dxa" w:w="2880"/>
            <w:shd w:val="clear" w:color="auto" w:fill="D9EAD3"/>
          </w:tcPr>
          <w:p>
            <w:r/>
            <w:r>
              <w:rPr>
                <w:b/>
                <w:color w:val="1F4E79"/>
              </w:rPr>
              <w:t>Catatan praktis</w:t>
            </w:r>
          </w:p>
        </w:tc>
      </w:tr>
      <w:tr>
        <w:tc>
          <w:tcPr>
            <w:tcW w:type="dxa" w:w="2880"/>
          </w:tcPr>
          <w:p>
            <w:r>
              <w:t>Daftar channel</w:t>
            </w:r>
          </w:p>
        </w:tc>
        <w:tc>
          <w:tcPr>
            <w:tcW w:type="dxa" w:w="2880"/>
          </w:tcPr>
          <w:p>
            <w:r>
              <w:t>pasar, pengepul, reseller, horeka, retail/online</w:t>
            </w:r>
          </w:p>
        </w:tc>
        <w:tc>
          <w:tcPr>
            <w:tcW w:type="dxa" w:w="2880"/>
          </w:tcPr>
          <w:p>
            <w:r>
              <w:t>pilih yang cocok kapasitas</w:t>
            </w:r>
          </w:p>
        </w:tc>
      </w:tr>
      <w:tr>
        <w:tc>
          <w:tcPr>
            <w:tcW w:type="dxa" w:w="2880"/>
          </w:tcPr>
          <w:p>
            <w:r>
              <w:t>Standar produk</w:t>
            </w:r>
          </w:p>
        </w:tc>
        <w:tc>
          <w:tcPr>
            <w:tcW w:type="dxa" w:w="2880"/>
          </w:tcPr>
          <w:p>
            <w:r>
              <w:t>grade &amp; spesifikasi</w:t>
            </w:r>
          </w:p>
        </w:tc>
        <w:tc>
          <w:tcPr>
            <w:tcW w:type="dxa" w:w="2880"/>
          </w:tcPr>
          <w:p>
            <w:r>
              <w:t>biar tidak debat</w:t>
            </w:r>
          </w:p>
        </w:tc>
      </w:tr>
      <w:tr>
        <w:tc>
          <w:tcPr>
            <w:tcW w:type="dxa" w:w="2880"/>
          </w:tcPr>
          <w:p>
            <w:r>
              <w:t>Harga minimum</w:t>
            </w:r>
          </w:p>
        </w:tc>
        <w:tc>
          <w:tcPr>
            <w:tcW w:type="dxa" w:w="2880"/>
          </w:tcPr>
          <w:p>
            <w:r>
              <w:t>angka lantai (SOP 23)</w:t>
            </w:r>
          </w:p>
        </w:tc>
        <w:tc>
          <w:tcPr>
            <w:tcW w:type="dxa" w:w="2880"/>
          </w:tcPr>
          <w:p>
            <w:r>
              <w:t>supaya tidak rugi</w:t>
            </w:r>
          </w:p>
        </w:tc>
      </w:tr>
      <w:tr>
        <w:tc>
          <w:tcPr>
            <w:tcW w:type="dxa" w:w="2880"/>
          </w:tcPr>
          <w:p>
            <w:r>
              <w:t>Materi sampel</w:t>
            </w:r>
          </w:p>
        </w:tc>
        <w:tc>
          <w:tcPr>
            <w:tcW w:type="dxa" w:w="2880"/>
          </w:tcPr>
          <w:p>
            <w:r>
              <w:t>batch kecil + foto</w:t>
            </w:r>
          </w:p>
        </w:tc>
        <w:tc>
          <w:tcPr>
            <w:tcW w:type="dxa" w:w="2880"/>
          </w:tcPr>
          <w:p>
            <w:r>
              <w:t>lebih kuat daripada janji</w:t>
            </w:r>
          </w:p>
        </w:tc>
      </w:tr>
      <w:tr>
        <w:tc>
          <w:tcPr>
            <w:tcW w:type="dxa" w:w="2880"/>
          </w:tcPr>
          <w:p>
            <w:r>
              <w:t>Sistem follow-up</w:t>
            </w:r>
          </w:p>
        </w:tc>
        <w:tc>
          <w:tcPr>
            <w:tcW w:type="dxa" w:w="2880"/>
          </w:tcPr>
          <w:p>
            <w:r>
              <w:t>catatan prospek &amp; order</w:t>
            </w:r>
          </w:p>
        </w:tc>
        <w:tc>
          <w:tcPr>
            <w:tcW w:type="dxa" w:w="2880"/>
          </w:tcPr>
          <w:p>
            <w:r>
              <w:t>biar tidak lupa</w:t>
            </w:r>
          </w:p>
        </w:tc>
      </w:tr>
    </w:tbl>
    <w:p/>
    <w:p>
      <w:r>
        <w:rPr>
          <w:b/>
          <w:color w:val="1F4E79"/>
          <w:sz w:val="28"/>
        </w:rPr>
        <w:t>Langkah kerja (praktis)</w:t>
      </w:r>
    </w:p>
    <w:p>
      <w:r>
        <w:rPr>
          <w:b/>
          <w:color w:val="2F75B5"/>
          <w:sz w:val="24"/>
        </w:rPr>
        <w:t>1) Pilih 2 channel awal (cash cepat + net bagus)</w:t>
      </w:r>
    </w:p>
    <w:p>
      <w:r>
        <w:t>Contoh strategi:</w:t>
      </w:r>
    </w:p>
    <w:p>
      <w:r>
        <w:t>• Channel A (cash cepat): pasar/pengepul/reseller lokal.</w:t>
      </w:r>
    </w:p>
    <w:p>
      <w:r>
        <w:t>• Channel B (net bagus): horeka kecil / retail / online.</w:t>
      </w:r>
    </w:p>
    <w:p/>
    <w:p>
      <w:r>
        <w:t>Tujuan: cashflow jalan, tapi kamu tetap punya channel yang memberi ‘harga sehat’.</w:t>
      </w:r>
    </w:p>
    <w:p>
      <w:r>
        <w:rPr>
          <w:b/>
          <w:color w:val="2F75B5"/>
          <w:sz w:val="24"/>
        </w:rPr>
        <w:t>2) Uji pasar pakai batch kecil (pilot)</w:t>
      </w:r>
    </w:p>
    <w:p>
      <w:r>
        <w:t>Kirim batch kecil untuk test:</w:t>
      </w:r>
    </w:p>
    <w:p>
      <w:r>
        <w:t>• lihat respon buyer (mutu, kemasan, waktu kirim),</w:t>
      </w:r>
    </w:p>
    <w:p>
      <w:r>
        <w:t>• catat net/kg, komplain, dan repeat order.</w:t>
      </w:r>
    </w:p>
    <w:p/>
    <w:p>
      <w:r>
        <w:t>Pilot lebih murah daripada langsung kontrak besar lalu gagal.</w:t>
      </w:r>
    </w:p>
    <w:p>
      <w:r>
        <w:rPr>
          <w:b/>
          <w:color w:val="2F75B5"/>
          <w:sz w:val="24"/>
        </w:rPr>
        <w:t>3) Negosiasi standar &amp; harga NET</w:t>
      </w:r>
    </w:p>
    <w:p>
      <w:r>
        <w:t>Negosiasi yang sehat itu jelas:</w:t>
      </w:r>
    </w:p>
    <w:p>
      <w:r>
        <w:t>• grade A/B,</w:t>
      </w:r>
    </w:p>
    <w:p>
      <w:r>
        <w:t>• kemasan,</w:t>
      </w:r>
    </w:p>
    <w:p>
      <w:r>
        <w:t>• biaya jual (siapa tanggung ongkir/packing),</w:t>
      </w:r>
    </w:p>
    <w:p>
      <w:r>
        <w:t>• aturan komplain.</w:t>
      </w:r>
    </w:p>
    <w:p/>
    <w:p>
      <w:r>
        <w:t>Harga yang kamu pegang adalah NET masuk, bukan harga sebelum potongan.</w:t>
      </w:r>
    </w:p>
    <w:p>
      <w:r>
        <w:rPr>
          <w:b/>
          <w:color w:val="2F75B5"/>
          <w:sz w:val="24"/>
        </w:rPr>
        <w:t>4) Scale up bertahap berdasarkan data</w:t>
      </w:r>
    </w:p>
    <w:p>
      <w:r>
        <w:t>Naikkan volume jika 3 hal ini stabil:</w:t>
      </w:r>
    </w:p>
    <w:p>
      <w:r>
        <w:t>• % grade A stabil,</w:t>
      </w:r>
    </w:p>
    <w:p>
      <w:r>
        <w:t>• net/kg di atas harga minimum,</w:t>
      </w:r>
    </w:p>
    <w:p>
      <w:r>
        <w:t>• komplain rendah.</w:t>
      </w:r>
    </w:p>
    <w:p/>
    <w:p>
      <w:r>
        <w:t>Naikkan 10–20% per periode, bukan langsung 2–3x.</w:t>
      </w:r>
    </w:p>
    <w:p>
      <w:r>
        <w:rPr>
          <w:b/>
          <w:color w:val="2F75B5"/>
          <w:sz w:val="24"/>
        </w:rPr>
        <w:t>5) Evaluasi mingguan dan perbaiki bottleneck</w:t>
      </w:r>
    </w:p>
    <w:p>
      <w:r>
        <w:t>Setiap minggu:</w:t>
      </w:r>
    </w:p>
    <w:p>
      <w:r>
        <w:t>• rekap buyer mana yang repeat,</w:t>
      </w:r>
    </w:p>
    <w:p>
      <w:r>
        <w:t>• channel mana yang net/kg paling sehat,</w:t>
      </w:r>
    </w:p>
    <w:p>
      <w:r>
        <w:t>• masalah mutu/pengiriman yang muncul.</w:t>
      </w:r>
    </w:p>
    <w:p/>
    <w:p>
      <w:r>
        <w:t>Bawa ke rapat KPI mingguan (SOP 17) untuk perbaikan.</w:t>
      </w:r>
    </w:p>
    <w:p/>
    <w:p>
      <w:r>
        <w:rPr>
          <w:b/>
          <w:color w:val="1F4E79"/>
          <w:sz w:val="28"/>
        </w:rPr>
        <w:t>Template tracking prospek &amp; buyer (contoh)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CFE2F3"/>
          </w:tcPr>
          <w:p>
            <w:r/>
            <w:r>
              <w:rPr>
                <w:b/>
                <w:color w:val="1F4E79"/>
              </w:rPr>
              <w:t>Periode (internal)</w:t>
            </w:r>
          </w:p>
        </w:tc>
        <w:tc>
          <w:tcPr>
            <w:tcW w:type="dxa" w:w="960"/>
            <w:shd w:val="clear" w:color="auto" w:fill="CFE2F3"/>
          </w:tcPr>
          <w:p>
            <w:r/>
            <w:r>
              <w:rPr>
                <w:b/>
                <w:color w:val="1F4E79"/>
              </w:rPr>
              <w:t>Channel</w:t>
            </w:r>
          </w:p>
        </w:tc>
        <w:tc>
          <w:tcPr>
            <w:tcW w:type="dxa" w:w="960"/>
            <w:shd w:val="clear" w:color="auto" w:fill="CFE2F3"/>
          </w:tcPr>
          <w:p>
            <w:r/>
            <w:r>
              <w:rPr>
                <w:b/>
                <w:color w:val="1F4E79"/>
              </w:rPr>
              <w:t>Nama buyer</w:t>
            </w:r>
          </w:p>
        </w:tc>
        <w:tc>
          <w:tcPr>
            <w:tcW w:type="dxa" w:w="960"/>
            <w:shd w:val="clear" w:color="auto" w:fill="CFE2F3"/>
          </w:tcPr>
          <w:p>
            <w:r/>
            <w:r>
              <w:rPr>
                <w:b/>
                <w:color w:val="1F4E79"/>
              </w:rPr>
              <w:t>Produk</w:t>
            </w:r>
          </w:p>
        </w:tc>
        <w:tc>
          <w:tcPr>
            <w:tcW w:type="dxa" w:w="960"/>
            <w:shd w:val="clear" w:color="auto" w:fill="CFE2F3"/>
          </w:tcPr>
          <w:p>
            <w:r/>
            <w:r>
              <w:rPr>
                <w:b/>
                <w:color w:val="1F4E79"/>
              </w:rPr>
              <w:t>Standar disepakati</w:t>
            </w:r>
          </w:p>
        </w:tc>
        <w:tc>
          <w:tcPr>
            <w:tcW w:type="dxa" w:w="960"/>
            <w:shd w:val="clear" w:color="auto" w:fill="CFE2F3"/>
          </w:tcPr>
          <w:p>
            <w:r/>
            <w:r>
              <w:rPr>
                <w:b/>
                <w:color w:val="1F4E79"/>
              </w:rPr>
              <w:t>Harga NET/kg</w:t>
            </w:r>
          </w:p>
        </w:tc>
        <w:tc>
          <w:tcPr>
            <w:tcW w:type="dxa" w:w="960"/>
            <w:shd w:val="clear" w:color="auto" w:fill="CFE2F3"/>
          </w:tcPr>
          <w:p>
            <w:r/>
            <w:r>
              <w:rPr>
                <w:b/>
                <w:color w:val="1F4E79"/>
              </w:rPr>
              <w:t>Volume/minggu</w:t>
            </w:r>
          </w:p>
        </w:tc>
        <w:tc>
          <w:tcPr>
            <w:tcW w:type="dxa" w:w="960"/>
            <w:shd w:val="clear" w:color="auto" w:fill="CFE2F3"/>
          </w:tcPr>
          <w:p>
            <w:r/>
            <w:r>
              <w:rPr>
                <w:b/>
                <w:color w:val="1F4E79"/>
              </w:rPr>
              <w:t>Status (pilot/kontrak)</w:t>
            </w:r>
          </w:p>
        </w:tc>
        <w:tc>
          <w:tcPr>
            <w:tcW w:type="dxa" w:w="960"/>
            <w:shd w:val="clear" w:color="auto" w:fill="CFE2F3"/>
          </w:tcPr>
          <w:p>
            <w:r/>
            <w:r>
              <w:rPr>
                <w:b/>
                <w:color w:val="1F4E79"/>
              </w:rPr>
              <w:t>Catatan</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p>
      <w:r>
        <w:rPr>
          <w:b/>
          <w:color w:val="1F4E79"/>
          <w:sz w:val="28"/>
        </w:rPr>
        <w:t>Peran &amp; tanggung jawab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color w:val="1F4E79"/>
              </w:rPr>
              <w:t>Peran</w:t>
            </w:r>
          </w:p>
        </w:tc>
        <w:tc>
          <w:tcPr>
            <w:tcW w:type="dxa" w:w="2160"/>
            <w:shd w:val="clear" w:color="auto" w:fill="D9E1F2"/>
          </w:tcPr>
          <w:p>
            <w:r/>
            <w:r>
              <w:rPr>
                <w:b/>
                <w:color w:val="1F4E79"/>
              </w:rPr>
              <w:t>Tanggung jawab inti</w:t>
            </w:r>
          </w:p>
        </w:tc>
        <w:tc>
          <w:tcPr>
            <w:tcW w:type="dxa" w:w="2160"/>
            <w:shd w:val="clear" w:color="auto" w:fill="D9E1F2"/>
          </w:tcPr>
          <w:p>
            <w:r/>
            <w:r>
              <w:rPr>
                <w:b/>
                <w:color w:val="1F4E79"/>
              </w:rPr>
              <w:t>Nama</w:t>
            </w:r>
          </w:p>
        </w:tc>
        <w:tc>
          <w:tcPr>
            <w:tcW w:type="dxa" w:w="2160"/>
            <w:shd w:val="clear" w:color="auto" w:fill="D9E1F2"/>
          </w:tcPr>
          <w:p>
            <w:r/>
            <w:r>
              <w:rPr>
                <w:b/>
                <w:color w:val="1F4E79"/>
              </w:rPr>
              <w:t>Cadangan</w:t>
            </w:r>
          </w:p>
        </w:tc>
      </w:tr>
      <w:tr>
        <w:tc>
          <w:tcPr>
            <w:tcW w:type="dxa" w:w="2160"/>
          </w:tcPr>
          <w:p>
            <w:r>
              <w:t>PIC penjualan</w:t>
            </w:r>
          </w:p>
        </w:tc>
        <w:tc>
          <w:tcPr>
            <w:tcW w:type="dxa" w:w="2160"/>
          </w:tcPr>
          <w:p>
            <w:r>
              <w:t>Prospek, negosiasi, follow-up, invoice</w:t>
            </w:r>
          </w:p>
        </w:tc>
        <w:tc>
          <w:tcPr>
            <w:tcW w:type="dxa" w:w="2160"/>
          </w:tcPr>
          <w:p>
            <w:r/>
          </w:p>
        </w:tc>
        <w:tc>
          <w:tcPr>
            <w:tcW w:type="dxa" w:w="2160"/>
          </w:tcPr>
          <w:p>
            <w:r/>
          </w:p>
        </w:tc>
      </w:tr>
      <w:tr>
        <w:tc>
          <w:tcPr>
            <w:tcW w:type="dxa" w:w="2160"/>
          </w:tcPr>
          <w:p>
            <w:r>
              <w:t>PIC QC/packing</w:t>
            </w:r>
          </w:p>
        </w:tc>
        <w:tc>
          <w:tcPr>
            <w:tcW w:type="dxa" w:w="2160"/>
          </w:tcPr>
          <w:p>
            <w:r>
              <w:t>Pastikan mutu sesuai standar channel</w:t>
            </w:r>
          </w:p>
        </w:tc>
        <w:tc>
          <w:tcPr>
            <w:tcW w:type="dxa" w:w="2160"/>
          </w:tcPr>
          <w:p>
            <w:r/>
          </w:p>
        </w:tc>
        <w:tc>
          <w:tcPr>
            <w:tcW w:type="dxa" w:w="2160"/>
          </w:tcPr>
          <w:p>
            <w:r/>
          </w:p>
        </w:tc>
      </w:tr>
      <w:tr>
        <w:tc>
          <w:tcPr>
            <w:tcW w:type="dxa" w:w="2160"/>
          </w:tcPr>
          <w:p>
            <w:r>
              <w:t>PIC pengiriman</w:t>
            </w:r>
          </w:p>
        </w:tc>
        <w:tc>
          <w:tcPr>
            <w:tcW w:type="dxa" w:w="2160"/>
          </w:tcPr>
          <w:p>
            <w:r>
              <w:t>Jadwal kirim, koordinasi logistik</w:t>
            </w:r>
          </w:p>
        </w:tc>
        <w:tc>
          <w:tcPr>
            <w:tcW w:type="dxa" w:w="2160"/>
          </w:tcPr>
          <w:p>
            <w:r/>
          </w:p>
        </w:tc>
        <w:tc>
          <w:tcPr>
            <w:tcW w:type="dxa" w:w="2160"/>
          </w:tcPr>
          <w:p>
            <w:r/>
          </w:p>
        </w:tc>
      </w:tr>
      <w:tr>
        <w:tc>
          <w:tcPr>
            <w:tcW w:type="dxa" w:w="2160"/>
          </w:tcPr>
          <w:p>
            <w:r>
              <w:t>Koordinator kebun</w:t>
            </w:r>
          </w:p>
        </w:tc>
        <w:tc>
          <w:tcPr>
            <w:tcW w:type="dxa" w:w="2160"/>
          </w:tcPr>
          <w:p>
            <w:r>
              <w:t>Scale up &amp; perbaikan sistem</w:t>
            </w:r>
          </w:p>
        </w:tc>
        <w:tc>
          <w:tcPr>
            <w:tcW w:type="dxa" w:w="2160"/>
          </w:tcPr>
          <w:p>
            <w:r/>
          </w:p>
        </w:tc>
        <w:tc>
          <w:tcPr>
            <w:tcW w:type="dxa" w:w="2160"/>
          </w:tcPr>
          <w:p>
            <w:r/>
          </w:p>
        </w:tc>
      </w:tr>
    </w:tbl>
    <w:p/>
    <w:p>
      <w:r>
        <w:rPr>
          <w:i/>
          <w:color w:val="555555"/>
        </w:rPr>
        <w:t>Versi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