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Checklist — Pengendalian OPT (PHT/IPM)</w:t>
      </w:r>
    </w:p>
    <w:p>
      <w:pPr>
        <w:jc w:val="center"/>
      </w:pPr>
      <w:r>
        <w:rPr>
          <w:i/>
          <w:color w:val="444444"/>
          <w:sz w:val="22"/>
        </w:rPr>
        <w:t>Dokumen terpisah | dipakai saat scouting, tindakan, dan evaluasi</w:t>
      </w:r>
    </w:p>
    <w:p>
      <w:r>
        <w:t>Cara pakai:</w:t>
      </w:r>
    </w:p>
    <w:p>
      <w:r>
        <w:t>• Isi Status: OK / Belum / Perlu revisi.</w:t>
      </w:r>
    </w:p>
    <w:p>
      <w:r>
        <w:t>• Isi Bukti: foto/link file/nama catatan.</w:t>
      </w:r>
    </w:p>
    <w:p/>
    <w:p>
      <w:r>
        <w:rPr>
          <w:b/>
          <w:color w:val="1F4E79"/>
          <w:sz w:val="28"/>
        </w:rPr>
        <w:t>Scouting rutin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Jadwal scouting disepakati &amp; dijalankan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Rute scouting konsisten (pinggir–tengah–ujung)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Foto gejala diambil (titik &amp; close-up)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OPT diidentifikasi (hama/penyakit/gulma)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Keparahan dinilai (ringan/sedang/berat)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Catatan scouting tersimpan rapi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Tindakan non-kimia (prioritas)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Yang dicek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Sanitasi dilakukan (buang bagian sakit, rapikan area)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Gulma dikendalikan (tidak jadi sarang OPT)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Perangkap/mekanis dijalankan bila relevan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Upaya biologis/biopestisida dipertimbangkan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Lingkungan diperbaiki (air/drainase/ventilasi)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Jika perlu kimia (terarah &amp; aman)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Produk sesuai target OPT (bukan asal)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Rotasi bahan aktif diterapkan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Dosis ditakar (bukan kira-kira)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APD dipakai lengkap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Catatan semprot lengkap (tanggal, blok, bahan, dosis)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PHI/interval panen diperhatikan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Evaluasi 48–72 jam &amp; review mingguan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Yang dievaluasi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Aksi perbaikan (1 hal)</w:t>
            </w:r>
          </w:p>
        </w:tc>
      </w:tr>
      <w:tr>
        <w:tc>
          <w:tcPr>
            <w:tcW w:type="dxa" w:w="2160"/>
          </w:tcPr>
          <w:p>
            <w:r>
              <w:t>Serangan berhenti menyebar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Populasi hama turun / gejala penyakit berkurang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Ada efek samping (fitotoksik)?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Biaya OPT minggu ini vs rencana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Update strategi pencegahan minggu depan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