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SOP-GEN-005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Supervisor, HRD, Seluruh Karyawan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3tfrhgu1xg1u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pedoman bagi manajemen dan karyawan dalam menangani konflik internal secara profesional, cepat, dan adil guna menjaga iklim kerja yang sehat dan produktif.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n9in937y81oo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seluruh bentuk konflik kerja yang terjadi antarindividu, antartim, atau antara bawahan dan atasan di lingkungan kerja perusahaan.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21k61pgfwtu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Konflik Internal</w:t>
      </w:r>
      <w:r w:rsidDel="00000000" w:rsidR="00000000" w:rsidRPr="00000000">
        <w:rPr>
          <w:sz w:val="24"/>
          <w:szCs w:val="24"/>
          <w:rtl w:val="0"/>
        </w:rPr>
        <w:t xml:space="preserve">: Ketidaksepakatan atau perselisihan antarindividu/tim yang dapat mempengaruhi suasana kerja, produktivitas, atau hubungan kerja.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Mediasi</w:t>
      </w:r>
      <w:r w:rsidDel="00000000" w:rsidR="00000000" w:rsidRPr="00000000">
        <w:rPr>
          <w:sz w:val="24"/>
          <w:szCs w:val="24"/>
          <w:rtl w:val="0"/>
        </w:rPr>
        <w:t xml:space="preserve">: Proses penyelesaian konflik yang melibatkan pihak ketiga (netral), seperti manajer atau HRD.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Pihak Terkait</w:t>
      </w:r>
      <w:r w:rsidDel="00000000" w:rsidR="00000000" w:rsidRPr="00000000">
        <w:rPr>
          <w:sz w:val="24"/>
          <w:szCs w:val="24"/>
          <w:rtl w:val="0"/>
        </w:rPr>
        <w:t xml:space="preserve">: Individu atau kelompok yang terlibat langsung dalam konflik.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71jyz88snfi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yang terlibat konflik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Atasan langsung atau manajer departemen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sebagai pihak netral dan pengelola dokumentasi konflik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q7lqmfn3ypfr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pbagwwskkqd7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Identifikasi Konflik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atau pihak lain melaporkan konflik kepada atasan langsung atau HRD.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Atasan/HRD mencatat ringkasan konflik, pihak terlibat, waktu kejadian, dan dampaknya terhadap pekerjaan.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79i1isiibdh4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Klarifikasi Awal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Atasan melakukan pertemuan terpisah dengan masing-masing pihak untuk memahami sudut pandang masing-masing.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Penjelasan dilakukan tanpa menghakimi atau menyudutkan.</w:t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vwdany685f4u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Mediasi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konflik belum terselesaikan, atasan dan/atau HRD mengundang semua pihak yang terlibat dalam satu forum mediasi.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Tujuan: membuka komunikasi, mencari titik temu, dan merumuskan solusi yang disepakati bersama.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mencatat hasil mediasi dan kesepakatan tertulis jika diperlukan.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rylaeyrdxyya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Tindak Lanjut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Kesepakatan yang dibuat dijalankan sesuai jadwal atau langkah yang disepakati.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dan atasan memantau implementasi solusi dalam 1–2 minggu pascamediasi.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konflik berulang atau memburuk, maka: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Dilakukan eskalasi ke level manajemen lebih tinggi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Pemberian peringatan atau tindakan disipliner jika melanggar kode etik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p4y1og7ns6on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Dokumentasi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menyimpan arsip konflik, termasuk: kronologi, hasil mediasi, kesepakatan, dan tindak lanjut yang dilakukan.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qapg3qda0pz4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proses penanganan konflik bersifat </w:t>
      </w:r>
      <w:r w:rsidDel="00000000" w:rsidR="00000000" w:rsidRPr="00000000">
        <w:rPr>
          <w:b w:val="1"/>
          <w:sz w:val="24"/>
          <w:szCs w:val="24"/>
          <w:rtl w:val="0"/>
        </w:rPr>
        <w:t xml:space="preserve">rahasia</w:t>
      </w:r>
      <w:r w:rsidDel="00000000" w:rsidR="00000000" w:rsidRPr="00000000">
        <w:rPr>
          <w:sz w:val="24"/>
          <w:szCs w:val="24"/>
          <w:rtl w:val="0"/>
        </w:rPr>
        <w:t xml:space="preserve"> dan </w:t>
      </w:r>
      <w:r w:rsidDel="00000000" w:rsidR="00000000" w:rsidRPr="00000000">
        <w:rPr>
          <w:b w:val="1"/>
          <w:sz w:val="24"/>
          <w:szCs w:val="24"/>
          <w:rtl w:val="0"/>
        </w:rPr>
        <w:t xml:space="preserve">tidak boleh disebarluaskan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dilarang menyebarkan konflik ke media sosial atau menghasut rekan kerja.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konflik berkaitan dengan diskriminasi, pelecehan, atau kekerasan verbal/fisik, maka ditangani secara khusus oleh HRD dan direksi.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2C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2D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Penanganan Konflik Internal</w:t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2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5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39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