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Pembayaran, Piutang, dan Kontrol Cashflow</w:t>
      </w:r>
    </w:p>
    <w:p>
      <w:pPr>
        <w:jc w:val="center"/>
      </w:pPr>
      <w:r>
        <w:rPr>
          <w:i/>
          <w:color w:val="444444"/>
          <w:sz w:val="22"/>
        </w:rPr>
        <w:t>Dokumen terpisah | dipakai setiap pengiriman &amp; review mingguan</w:t>
      </w:r>
    </w:p>
    <w:p>
      <w:r>
        <w:t>Cara pakai:</w:t>
      </w:r>
    </w:p>
    <w:p>
      <w:r>
        <w:t>• Isi Status: OK / Belum / Perlu tindak lanjut.</w:t>
      </w:r>
    </w:p>
    <w:p>
      <w:r>
        <w:t>• Isi Bukti: invoice/POD/rekap pembayaran.</w:t>
      </w:r>
    </w:p>
    <w:p/>
    <w:p>
      <w:r>
        <w:rPr>
          <w:b/>
          <w:color w:val="1F4E79"/>
          <w:sz w:val="28"/>
        </w:rPr>
        <w:t>Sebelum kirim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Terms pembayaran sudah disepakati (DP/COD/tempo)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Invoice/DO dibuat dan lengkap (kode batch, jatuh tempo)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Limit piutang buyer dicek (tidak melebihi batas)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serah-terima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POD lengkap (foto + jumlah + penerima + batch)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ada catatan kualitas, ditulis saat itu juga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Penagihan &amp; aging (mingguan)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Reminder H-1 sebelum jatuh tempo dikirim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Aging piutang diperbarui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Piutang &gt;14 hari ditangani (follow-up intensif)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Piutang &gt;30 hari: tempo dihentikan sampai lunas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Rekonsiliasi pembayaran vs invoice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