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Pemupukan Susulan (Topdressing) 4R</w:t>
      </w:r>
    </w:p>
    <w:p>
      <w:pPr>
        <w:jc w:val="center"/>
      </w:pPr>
      <w:r>
        <w:rPr>
          <w:i/>
          <w:color w:val="444444"/>
          <w:sz w:val="22"/>
        </w:rPr>
        <w:t>Dokumen terpisah | dipakai sebelum aplikasi &amp; saat evaluasi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Pra-aplikasi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Tujuan aplikasi jelas (fase tanaman &amp; target)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Cek 5 titik/blok sudah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Masalah air/drainase/OPT sudah dicek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Jenis pupuk dipilih sesuai kebutuhan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Dosis dihitung &amp; disetujui koordinator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Timbangan &amp; alat sebar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Cuaca aman (tidak hujan deras / tidak tanah kering ekstrem)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Dosis ditimbang (bukan kira-kira)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Aplikasi merata/posisi benar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APD dipakai bila perlu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lengkap (blok, jenis, dosis, cara)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bukti aplikasi tersimpan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Evaluasi 7 hari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dievaluasi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Keputusan (naik/tahan/stop)</w:t>
            </w:r>
          </w:p>
        </w:tc>
      </w:tr>
      <w:tr>
        <w:tc>
          <w:tcPr>
            <w:tcW w:type="dxa" w:w="2160"/>
          </w:tcPr>
          <w:p>
            <w:r>
              <w:t>Keseragaman tanaman membaik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Gejala defisiensi turun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Tidak ada efek samping (daun terbakar/fitotoksik)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Biaya pupuk sesuai rencana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