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Pengendalian Gulma (Penyiangan)</w:t>
      </w:r>
    </w:p>
    <w:p>
      <w:pPr>
        <w:jc w:val="center"/>
      </w:pPr>
      <w:r>
        <w:rPr>
          <w:i/>
          <w:color w:val="444444"/>
          <w:sz w:val="22"/>
        </w:rPr>
        <w:t>Dokumen terpisah | dipakai saat jadwal mingguan &amp; eksekusi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Pra-kerja (sebelum penyiangan)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Hotspot gulma ditandai (sketsa blok)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Jalur kerja ditentukan &amp; diprioritaskan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 harian jelas (m2/orang/hari)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Alat manual siap (kored/cangkul/garpu)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Mulsa/penutup tanah dicek (jika ada)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Pembagian area kerja jelas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eksekusi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Gulma dicabut sampai akar (yang relevan)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Akar tanaman tidak rusak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Gulma dikumpulkan di tempat yang ditentukan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Jalur kerja bersih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Area selesai difoto (sebelum–sesudah)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Review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dievaluasi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Aksi perbaikan (1 hal)</w:t>
            </w:r>
          </w:p>
        </w:tc>
      </w:tr>
      <w:tr>
        <w:tc>
          <w:tcPr>
            <w:tcW w:type="dxa" w:w="2160"/>
          </w:tcPr>
          <w:p>
            <w:r>
              <w:t>Biaya/jam kerja penyiangan minggu ini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Hotspot yang masih muncul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Efektivitas mulsa/penutup tanah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Dampak ke OPT &amp; kelembapan kebun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 jadwal minggu depan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