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Aplikasi Pestisida (Jika Perlu)</w:t>
      </w:r>
    </w:p>
    <w:p>
      <w:pPr>
        <w:jc w:val="center"/>
      </w:pPr>
      <w:r>
        <w:rPr>
          <w:i/>
          <w:color w:val="444444"/>
          <w:sz w:val="22"/>
        </w:rPr>
        <w:t>Dokumen terpisah | dipakai sebelum–saat–sesudah semprot</w:t>
      </w:r>
    </w:p>
    <w:p>
      <w:r>
        <w:t>Cara pakai:</w:t>
      </w:r>
    </w:p>
    <w:p>
      <w:r>
        <w:t>• Isi Status: OK / Belum / Perlu tindak lanjut.</w:t>
      </w:r>
    </w:p>
    <w:p>
      <w:r>
        <w:t>• Isi Bukti: foto APD, catatan dosis, log aplikasi.</w:t>
      </w:r>
    </w:p>
    <w:p/>
    <w:p>
      <w:r>
        <w:rPr>
          <w:b/>
          <w:color w:val="1F4E79"/>
          <w:sz w:val="28"/>
        </w:rPr>
        <w:t>Sebelum semprot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Monitoring OPT ada (data/blok) dan keputusan semprot jelas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Produk legal &amp; label jelas; target OPT sesuai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Dosis dihitung &amp; sesuai label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Sprayer tidak bocor &amp; sudah dikalibrasi sederhana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APD lengkap dipakai (masker/kacamata/sarung tangan/baju/boots)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Cuaca aman (tidak angin kencang, tidak mau hujan)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Saat semprot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Semprot searah angin (operator tidak kena drift)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Fokus ke area terserang (tidak berlebihan)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Tidak ada orang lain di area semprot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Berhenti bila angin/hujan berubah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Sesudah semprot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Alat dicuci &amp; sisa larutan tidak dibuang sembarangan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APD dilepas benar; cuci tangan/mandi &amp; ganti pakaian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Produk sisa disimpan aman di gudang kimia terkunci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Blok ditandai &amp; REI dipatuhi (sesuai label)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Catatan aplikasi diisi lengkap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Monitoring ulang 48–72 jam dilakukan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