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Kebersihan Alat &amp; Area Kerja (Sanitasi &amp; Higiene)</w:t>
      </w:r>
    </w:p>
    <w:p>
      <w:pPr>
        <w:jc w:val="center"/>
      </w:pPr>
      <w:r>
        <w:rPr>
          <w:i/>
          <w:color w:val="444444"/>
          <w:sz w:val="22"/>
        </w:rPr>
        <w:t>Dokumen terpisah | dipakai harian</w:t>
      </w:r>
    </w:p>
    <w:p>
      <w:r>
        <w:t>Cara pakai:</w:t>
      </w:r>
    </w:p>
    <w:p>
      <w:r>
        <w:t>• Isi Status: OK / Belum / Perlu perbaikan.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Zonasi &amp; alur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Zonasi kotor–transisi–bersih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Barang bergerak satu arah (tidak balik arah)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zona kotor tidak masuk zona bersih tanpa sanitasi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Sanitasi alat &amp; meja (harian)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Kotoran kasar dibersihkan dulu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Cuci (air + deterjen)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Bilas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Sanitasi/disinfektan sesuai label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Alat/meja dikeringkan sebelum dipakai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Area &amp; pembuangan limbah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Lantai tidak becek &amp; tidak ada genangan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Tempat sampah tertutup &amp; dibuang rutin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cuci tidak mampet &amp; tidak bau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Reject/sisa organik tidak menumpuk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Higiene personel (area bersih)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Cuci tangan sebelum pegang produk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Tidak makan/minum/rokok di area packing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Sarung tangan/penutup kepala (jika dipakai)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Orang sakit tidak pegang produk langsung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