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標楷體" w:hAnsi="標楷體" w:cs="標楷體" w:eastAsia="標楷體"/>
          <w:sz w:val="28"/>
        </w:rPr>
        <w:t>&lt;Response&gt;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the response message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&lt;Error&gt;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&lt;Status&gt;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&lt;Declaration&gt;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&lt;Error&gt;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Error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0..9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Response/Error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to identify data validation errors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&lt;ValidationCode&gt;
Error code
駁回原因代碼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參照關港貿作業代碼--018_倉儲或運輸業申報訊息回覆原因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&lt;Status&gt;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Status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Response/Status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to identify the status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&lt;NameCode&gt;
Response code
回應別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an2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代碼：
AK：要求
AP：接受
EX：需查驗（儀器查驗、加封電子封條或辦理車機封條加封確認作業）
RE：拒絕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&lt;Declaration&gt;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Declaration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Any statement or action, in any form prescribed or accepted by the Governmental Agency, giving information or particulars required by the Governmental Agency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&lt;BorderTransportMeans&gt;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&lt;Consignment&gt;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&lt;GovernmentProcedure&gt;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&lt;TransportEquipment&gt;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&lt;BorderTransportMeans&gt;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BorderTransportMeans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Response/Declaration/BorderTransportMeans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the means of transport crossing the border of the Customs territory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&lt;ArrivalDateTime&gt;
Date of arrival
航機抵達日期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Date Time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an8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年(西元) - 4碼
月 - 2碼
日 - 2碼</w:t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Transport ID, coded
船（機）代碼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an..25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海運以船舶IMO代碼填列，空運以航機註冊號碼填列（外籍航機亦同）</w:t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&lt;JourneyID&gt;
Voyage No./Flight No.
船舶航次（海）/航機班次（空）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an..12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&lt;tw_Registration&gt;
Vessel registration No.
海關通關號碼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Text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an6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&lt;TypeCode&gt;
Categories of transport
海空運別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代碼：
1：海運
4：空運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&lt;Consignment&gt;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transport between a consignor and a consignee as specified in the transport contract 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&lt;BoardedQuantity&gt;
Total number of consignments
艙號筆數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Quantity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n..4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&lt;tw_ManifestSerialNumber&gt;
Manifest serial No.
艙單號碼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Text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&lt;tw_ShippingOrderNumber&gt;
Shipping order No.
裝貨單號碼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Text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&lt;ConsignmentItem&gt;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&lt;TransportContractDocument&gt;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&lt;TransportEquipment&gt;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&lt;ConsignmentItem&gt;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ConsignmentItem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Response/Declaration/Consignment/ConsignmentItem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an item in a 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&lt;PreviousDocument&gt;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&lt;PreviousDocument&gt;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PreviousDocument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Response/Declaration/Consignment/ConsignmentItem/PreviousDocument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Information relating to the previous 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&lt;tw_FunctionalReferenceID&gt;
Original message identifier
原訊息編號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an..20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&lt;TypeCode&gt;
Original message type
原訊息類別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an..8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&lt;Submitter&gt;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Aggregate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&lt;Submitter&gt;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Submitter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Response/Declaration/Consignment/ConsignmentItem/PreviousDocument/Submitter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related to the submitter of written or electronic documentation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Original sender code
原訊息傳送者代碼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&lt;TransportContractDocument&gt;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TransportContractDocument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0..4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Response/Declaration/Consignment/TransportContractDocument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Information about the consignment which corresponds to one transport contract. (Known as consignment by the Transport group)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Master delivery order number/Bill of lading number
主提單號碼;分提單號碼;託運單主號;託運單分號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Master delivery order number/Bill of lading number
主提單號碼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House delivery order number/Bill of lading number
分提單號碼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Master air waybill/Bill of lading number
託運單主號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House air waybill number/Bill of lading number
託運單分號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an..35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&lt;TypeCode&gt;
Transportation Contract Document Type Code
*運輸合約文件類別代碼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an3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&lt;TransportEquipment&gt;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TransportEquipment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0..9999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Response/Declaration/Consignment/TransportEquipment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Transport equipment used for the 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&lt;ID&gt;
Full container No.
實櫃號碼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Identifier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an..17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&lt;GovernmentProcedure&gt;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GovernmentProcedure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Response/Declaration/GovernmentProcedure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about the current and previous government procedure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&lt;tw_TransportTypeCode&gt;
Import/Export, coded
進出口別代碼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Code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an1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代碼：
1：進口
2：出口
3：轉口</w:t>
            </w:r>
          </w:p>
        </w:tc>
        <w:tc>
          <w:p/>
        </w:tc>
        <w:tc>
          <w:p/>
        </w:tc>
      </w:tr>
    </w:tbl>
    <w:p>
      <w:r>
        <w:br w:type="page"/>
      </w:r>
    </w:p>
    <w:p>
      <w:r>
        <w:rPr>
          <w:rFonts w:ascii="標楷體" w:hAnsi="標楷體" w:cs="標楷體" w:eastAsia="標楷體"/>
          <w:sz w:val="28"/>
        </w:rPr>
        <w:t>&lt;TransportEquipment&gt;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TransportEquipment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0..1</w:t>
            </w:r>
          </w:p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Response/Declaration/TransportEquipment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功能說明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restart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Details of Transport equipment used for the consignment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資料項目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M/C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Data
Type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長度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備註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&lt;tw_EmptyContainerQuantity&gt;
Total number of empty containers
空櫃總數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Quantity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n..4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  <w:tr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&lt;tw_FullContainerQuantity&gt;
Total number of full containers
實櫃總數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C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Quantity</w:t>
            </w:r>
          </w:p>
        </w:tc>
        <w:tc>
          <w:tcPr>
            <w:hMerge w:val="continue"/>
          </w:tcPr>
          <w:p/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>n..4</w:t>
            </w:r>
          </w:p>
        </w:tc>
        <w:tc>
          <w:tcP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tcPr>
            <w:vAlign w:val="top"/>
          </w:tcPr>
          <w:p>
            <w:pPr>
              <w:jc w:val="left"/>
            </w:pPr>
            <w:r>
              <w:rPr>
                <w:rFonts w:ascii="標楷體" w:hAnsi="標楷體" w:cs="標楷體" w:eastAsia="標楷體"/>
                <w:sz w:val="24"/>
                <w:b w:val="off"/>
              </w:rPr>
              <w:t/>
            </w:r>
          </w:p>
        </w:tc>
        <w:tc>
          <w:p/>
        </w:tc>
        <w:tc>
          <w:p/>
        </w:tc>
      </w:tr>
    </w:tbl>
    <w:p>
      <w:r>
        <w:br w:type="page"/>
      </w:r>
    </w:p>
    <w:sectPr>
      <w:pgSz w:w="11906" w:h="16838"/>
      <w:pgMar w:left="1300" w:right="1400" w:top="1000" w:bottom="10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2025-12-23T07:57:26Z</dcterms:created>
  <dc:creator>Apache POI</dc:creator>
</cp:coreProperties>
</file>