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Project Wafa — Architecture Design Document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A Customer Retention Intelligence Platform for Falcon Bank UAE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MAIB AI 115 · NLP and Models · Deliverable 1 · July 2026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Rakshanda Dhote</w:t>
      </w:r>
    </w:p>
    <w:p>
      <w:pPr>
        <w:pStyle w:val="Heading1"/>
      </w:pPr>
      <w:r>
        <w:t xml:space="preserve">1. Design philosophy</w:t>
      </w:r>
    </w:p>
    <w:p>
      <w:pPr>
        <w:spacing w:after="120"/>
      </w:pPr>
      <w:r>
        <w:rPr>
          <w:sz w:val="20"/>
          <w:szCs w:val="20"/>
        </w:rPr>
        <w:t xml:space="preserve">The platform follows the course’s spine: </w:t>
      </w:r>
      <w:r>
        <w:rPr>
          <w:b/>
          <w:bCs/>
          <w:sz w:val="20"/>
          <w:szCs w:val="20"/>
        </w:rPr>
        <w:t xml:space="preserve">learned models for fuzzy language, transparent rules where money and trust are decided, and a human in the loop where stakes are high.</w:t>
      </w:r>
      <w:r>
        <w:rPr>
          <w:sz w:val="20"/>
          <w:szCs w:val="20"/>
        </w:rPr>
        <w:t xml:space="preserve"> Text and behaviour are fused because either alone misleads: a customer can look healthy on paper while telling us they are leaving (our smoke tests surfaced exactly this case — behaviour score 0.8%, message: “I have already resigned and am moving back home”). We chose a </w:t>
      </w:r>
      <w:r>
        <w:rPr>
          <w:b/>
          <w:bCs/>
          <w:sz w:val="20"/>
          <w:szCs w:val="20"/>
        </w:rPr>
        <w:t xml:space="preserve">multilingual-native pipeline with no translation step</w:t>
      </w:r>
      <w:r>
        <w:rPr>
          <w:sz w:val="20"/>
          <w:szCs w:val="20"/>
        </w:rPr>
        <w:t xml:space="preserve">: Hindi arrives romanized (“mera card decline ho gaya”), which breaks off-the-shelf hi→en translators and language detectors; training directly on the four languages side-steps that failure mode and handles code-switched text for free.</w:t>
      </w:r>
    </w:p>
    <w:p>
      <w:pPr>
        <w:pStyle w:val="Heading1"/>
      </w:pPr>
      <w:r>
        <w:t xml:space="preserve">2. End-to-end flow</w:t>
      </w:r>
    </w:p>
    <w:p>
      <w:pPr>
        <w:spacing w:after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flow" descr="Flow from message and profile to dashboard" title="Architectur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files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 Listen — language ID, LSTM classifiers, entities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wafa/m1_listen.py; training/train_lstm_classifier.py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M1b Fine-tuned transformer + model bake-off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training/finetune_distilmbert_colab.py; training/evaluate_models.py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M2 Understand — churn model, fusion, fairness audit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wafa/m2_understand.py; training/train_churn_model.py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M3 Act — decision rules, LLM drafting, guardrails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wafa/m3_act.py; training/check_outreach_quality.py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 Dashboard + audit log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app.py; wafa/audit.py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&amp; evaluation — generator extension, unseen-template tests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data/generate_wafa_data.py; training/make_unseen_testset.py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Six modules cover the pipeline end to end: the heavy modules (M1, M2, M3) carry the language, fusion, and action logic; the flow diagram is kept clean for readability.</w:t>
      </w:r>
    </w:p>
    <w:p>
      <w:pPr>
        <w:pStyle w:val="Heading1"/>
      </w:pPr>
      <w:r>
        <w:t xml:space="preserve">4. Interface contracts</w:t>
      </w:r>
    </w:p>
    <w:p>
      <w:pPr>
        <w:spacing w:after="120"/>
      </w:pPr>
      <w:r>
        <w:rPr>
          <w:sz w:val="20"/>
          <w:szCs w:val="20"/>
        </w:rPr>
        <w:t xml:space="preserve">Every arrow in the flow diagram carries exactly one of the dictionaries below (defined with mock factories in wafa/contracts.py). Each module is developed and tested against these mocks, so no member is ever blocked by another’s unfinished code.</w:t>
      </w:r>
    </w:p>
    <w:p>
      <w:pPr>
        <w:pStyle w:val="Heading2"/>
      </w:pPr>
      <w:r>
        <w:t xml:space="preserve">M1 → M2: ListenSignals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values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message_id / customer_id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 ref; customer_id joins to profile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raw message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| ar | hi | tl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detected language + language_confidence (0–1)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issue_type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7-class 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class + issue_confidence (0–1)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churn_signal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| Medium | Low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churn intent + churn_signal_confidence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leaving_confirmed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 relocation statement detected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entities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amounts_aed, dates, destinations, products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classifier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lstm | finetuned | heuristic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model produced the prediction</w:t>
            </w:r>
          </w:p>
        </w:tc>
      </w:tr>
    </w:tbl>
    <w:p>
      <w:pPr>
        <w:pStyle w:val="Heading2"/>
      </w:pPr>
      <w:r>
        <w:t xml:space="preserve">M2 → M3: RiskAssessment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values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behaviour_score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probability from the tabular model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text_score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signal mapped High=0.9 / Med=0.55 / Low=0.15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fused_risk / risk_band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 / 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0.55·behaviour + 0.45·text; Critical≥.75, High≥.55, Med≥.35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plain-English drivers, most important first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needs_human_triage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when classifier confidence &lt; 0.5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segment / clv_estimate_aed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 / float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value context; CLV caps offer spend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profile_found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 → neutral behaviour prior, text carries the call</w:t>
            </w:r>
          </w:p>
        </w:tc>
      </w:tr>
    </w:tbl>
    <w:p>
      <w:pPr>
        <w:pStyle w:val="Heading2"/>
      </w:pPr>
      <w:r>
        <w:t xml:space="preserve">M3 → M4: ActionPlan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values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 / action_label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code + human-readable name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rationale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fired rule, line by line (auditable)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offer_value_aed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when no monetary offer; offer_within_budget flag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draft_message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outreach text awaiting human review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draft_language / draft_source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of draft; llm or template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guardrail_flags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non-empty when the LLM draft violated a check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prompt_used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 | null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exact LLM prompt (shown in dashboard, ethics)</w:t>
            </w:r>
          </w:p>
        </w:tc>
      </w:tr>
    </w:tbl>
    <w:p>
      <w:pPr>
        <w:pStyle w:val="Heading1"/>
      </w:pPr>
      <w:r>
        <w:t xml:space="preserve">5. Model selection and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60"/>
        <w:gridCol w:w="45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(quality · size · languages · hardware)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+ churn-signal classifier (trained #1)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Bidirectional LSTM, Keras, from scratch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Multilingual-native incl. romanized Hindi; the exact architecture family built in the course; &lt;2 MB, trains in ~1 min on CPU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+ churn-signal classifier (trained #2)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DistilmBERT fine-tune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 languages incl. Arabic and Tagalog; ~2 min on free Colab T4 (also CPU-feasible); bake-off vs the LSTM decides which serves the app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identification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Rule-based (script range + keyword scoring)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Romanized Hindi defeats off-the-shelf detectors; rules are transparent and testable; fasttext-lid is the upgrade path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extraction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Regex + gazetteers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Transparent and reliable at 252-message scale; spaCy NER optional for English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propensity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Logistic regression (primary), XGBoost benchmarked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Coefficients give the per-customer ‘why’ shown on the dashboard; nationality_region excluded by design (fairness)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Outreach generation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Qwen2.5-0.5B-Instruct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Brief’s own guidance: best small-model Arabic; runs on laptop CPU; tone-locked prompt + guardrails; curated-template fallback means the demo never depends on it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Two models are trained by the team (LSTM from scratch, DistilmBERT fine-tuned), exceeding the one-trained-model minimum. The bake-off (training/evaluate_models.py) compares both against a zero-shot Qwen classifier on the same held-out split </w:t>
      </w:r>
      <w:r>
        <w:rPr>
          <w:b/>
          <w:bCs/>
          <w:sz w:val="20"/>
          <w:szCs w:val="20"/>
        </w:rPr>
        <w:t xml:space="preserve">and on an unseen-template test set</w:t>
      </w:r>
      <w:r>
        <w:rPr>
          <w:sz w:val="20"/>
          <w:szCs w:val="20"/>
        </w:rPr>
        <w:t xml:space="preserve">, because the provided messages are template-generated and random-split scores are upper bounds. Results and per-language quality go in the business report, honestly, whichever model wins.</w:t>
      </w:r>
    </w:p>
    <w:p>
      <w:pPr>
        <w:pStyle w:val="Heading1"/>
      </w:pPr>
      <w:r>
        <w:t xml:space="preserve">6. Feasibility budget — proof it runs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300"/>
        <w:gridCol w:w="2400"/>
        <w:gridCol w:w="1900"/>
        <w:gridCol w:w="16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Runs 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BiLSTM classifier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2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~1 min; infer &lt; 0.1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keyword heuristic (built in)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DistilmBERT fine-tune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~540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train: free Colab T4; infer: 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~2 min (T4); infer ~0.2 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LSTM remains the serving model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Churn model (sklearn)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in seconds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Qwen2.5-0.5B-Instruct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 GB cached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 CPU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30–60 s per draft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curated templates (WAFA_USE_LLM=0)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Gradio dashboard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laptop, localhost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screen-recording backup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>Total disk footprint ≈ 2 GB, total cost AED 0. No paid API is required at any point; every component has a fallback that keeps the live demo running offline once models are cached.</w:t>
      </w:r>
    </w:p>
    <w:p>
      <w:pPr>
        <w:pStyle w:val="Heading1"/>
      </w:pPr>
      <w:r>
        <w:t xml:space="preserve">7. Risks and fallbacks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Live-demo failure (wifi, re-download, timeout): all models pre-cached locally; WAFA_USE_LLM=0 gives an instant template-only mode; a 2-minute screen recording is the break-glass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Template leakage: near-perfect random-split metrics are reported as upper bounds; the honest evaluation runs on generator-extended unseen phrasings.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LLM hallucination and language failure: guardrails catch urgency language, invented amounts, unfilled placeholders and drafts in the wrong language (all observed in testing — see models/outreach_language_check*.json) and fall back to curated templates in the customer's language; no draft reaches a customer without human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Fairness: nationality_region is never a model feature; it is used solely to audit that predicted risk does not skew by region (audit passing; see models/churn_eval.json).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Draft quality at 0.5B: acceptable but plain; if demo hardware allows, Qwen2.5-1.5B is a drop-in upgrade — the bake-off template covers this comparison.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42af879a9ecb7451d08fd44dad8336d8a19b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2026-08-20T11:50:06.859Z</dcterms:created>
  <dcterms:modified xsi:type="dcterms:W3CDTF">2026-08-20T11:50:06.860Z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