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0367" w14:textId="60B22612" w:rsidR="008830D8" w:rsidRPr="00161BA1" w:rsidRDefault="00161BA1">
      <w:pPr>
        <w:rPr>
          <w:b/>
          <w:bCs/>
        </w:rPr>
      </w:pPr>
      <w:r>
        <w:rPr>
          <w:b/>
          <w:bCs/>
        </w:rPr>
        <w:t>Task 1.10: Project Reflections</w:t>
      </w:r>
    </w:p>
    <w:p w14:paraId="0A2C6747" w14:textId="77777777" w:rsidR="00D0317E" w:rsidRDefault="00D0317E" w:rsidP="008830D8"/>
    <w:p w14:paraId="2CB052CE" w14:textId="15BCE1BA" w:rsidR="008830D8" w:rsidRDefault="008830D8" w:rsidP="008830D8">
      <w:r>
        <w:t>GameCo</w:t>
      </w:r>
      <w:r w:rsidR="00181AD3">
        <w:t>’s Ex</w:t>
      </w:r>
      <w:r w:rsidR="0010757C">
        <w:t>pectation</w:t>
      </w:r>
      <w:r>
        <w:t xml:space="preserve">: GameCo’s executive board currently </w:t>
      </w:r>
      <w:r w:rsidR="0039232B">
        <w:t>expects</w:t>
      </w:r>
      <w:r>
        <w:t xml:space="preserve"> that sales for the various geographic regions have stayed the same historically. </w:t>
      </w:r>
    </w:p>
    <w:p w14:paraId="115FA654" w14:textId="66EE07BC" w:rsidR="001A6EB8" w:rsidRDefault="0013740D" w:rsidP="00844F7E">
      <w:pPr>
        <w:ind w:firstLine="720"/>
      </w:pPr>
      <w:r>
        <w:t xml:space="preserve">Our target audience is GameCo’s executive board </w:t>
      </w:r>
      <w:r w:rsidR="003539A6">
        <w:t xml:space="preserve">is </w:t>
      </w:r>
      <w:r>
        <w:t xml:space="preserve">made up </w:t>
      </w:r>
      <w:r w:rsidR="00CD2D47">
        <w:t xml:space="preserve">of </w:t>
      </w:r>
      <w:r w:rsidR="008D2557">
        <w:t xml:space="preserve">multiple stakeholders, </w:t>
      </w:r>
      <w:r w:rsidR="00CD2D47">
        <w:t xml:space="preserve">the Vice President of Marketing, Chief Financial Officer, and Senior Vice President of Sales. </w:t>
      </w:r>
      <w:r w:rsidR="00032634">
        <w:t xml:space="preserve">Each of these stakeholders will want to be able to answer different questions based on their needs. </w:t>
      </w:r>
      <w:r w:rsidR="00DC73E2">
        <w:t>The specific questions they are interested in learning about</w:t>
      </w:r>
      <w:r w:rsidR="00AD34DC">
        <w:t xml:space="preserve"> I chose to explore</w:t>
      </w:r>
      <w:r w:rsidR="00DC73E2">
        <w:t xml:space="preserve"> are:</w:t>
      </w:r>
    </w:p>
    <w:p w14:paraId="44C04C02" w14:textId="77777777" w:rsidR="00181AD3" w:rsidRDefault="00181AD3" w:rsidP="00181AD3">
      <w:r>
        <w:t>● Are certain types of games more popular than others?</w:t>
      </w:r>
    </w:p>
    <w:p w14:paraId="2030BBE6" w14:textId="77777777" w:rsidR="00181AD3" w:rsidRDefault="00181AD3" w:rsidP="00181AD3">
      <w:r>
        <w:t>● What other publishers will likely be the main competitors in certain markets?</w:t>
      </w:r>
    </w:p>
    <w:p w14:paraId="581278D4" w14:textId="557DBDC8" w:rsidR="006374C8" w:rsidRDefault="006374C8" w:rsidP="00181AD3">
      <w:r>
        <w:t>Step 1:</w:t>
      </w:r>
    </w:p>
    <w:p w14:paraId="07F07C68" w14:textId="7327E51C" w:rsidR="00D0317E" w:rsidRDefault="00181AD3" w:rsidP="00844F7E">
      <w:pPr>
        <w:ind w:firstLine="720"/>
      </w:pPr>
      <w:r>
        <w:t xml:space="preserve">Based on the </w:t>
      </w:r>
      <w:r w:rsidR="00172DDA">
        <w:t>executive</w:t>
      </w:r>
      <w:r>
        <w:t xml:space="preserve"> board</w:t>
      </w:r>
      <w:r w:rsidR="00172DDA">
        <w:t>’s</w:t>
      </w:r>
      <w:r>
        <w:t xml:space="preserve"> e</w:t>
      </w:r>
      <w:r w:rsidR="0010757C">
        <w:t xml:space="preserve">xpectations stated above I first wanted to </w:t>
      </w:r>
      <w:r w:rsidR="008A3DE5">
        <w:t xml:space="preserve">analyze historical sales data from 2006-2016. I chose this timeframe because </w:t>
      </w:r>
      <w:r w:rsidR="00C9149A">
        <w:t xml:space="preserve">I felt data older than 2016 would </w:t>
      </w:r>
      <w:r w:rsidR="00172DDA">
        <w:t>not accurately reflect current sales trends.</w:t>
      </w:r>
      <w:r w:rsidR="00711E69">
        <w:t xml:space="preserve"> I also chose to only include the three biggest regional markets so this </w:t>
      </w:r>
      <w:r w:rsidR="00A73316">
        <w:t>analysis could have the strongest impact for the stakeholders.</w:t>
      </w:r>
    </w:p>
    <w:p w14:paraId="41EBC8EA" w14:textId="77777777" w:rsidR="00940A72" w:rsidRDefault="00940A72" w:rsidP="008830D8"/>
    <w:p w14:paraId="60A8C658" w14:textId="2772583B" w:rsidR="0039232B" w:rsidRDefault="00574428" w:rsidP="008830D8">
      <w:r>
        <w:rPr>
          <w:noProof/>
        </w:rPr>
        <w:drawing>
          <wp:inline distT="0" distB="0" distL="0" distR="0" wp14:anchorId="68AFA513" wp14:editId="5FD32631">
            <wp:extent cx="5943600" cy="3566795"/>
            <wp:effectExtent l="0" t="0" r="0" b="14605"/>
            <wp:docPr id="1" name="Chart 1" descr="Line chart describing trends in regional sales from 2006-2016. ">
              <a:extLst xmlns:a="http://schemas.openxmlformats.org/drawingml/2006/main">
                <a:ext uri="{FF2B5EF4-FFF2-40B4-BE49-F238E27FC236}">
                  <a16:creationId xmlns:a16="http://schemas.microsoft.com/office/drawing/2014/main" id="{8A8765BF-CDF5-27A0-6C01-E2C6E35AEC4E}"/>
                </a:ext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5FDB8F" w14:textId="77777777" w:rsidR="0039232B" w:rsidRDefault="0039232B" w:rsidP="008830D8"/>
    <w:p w14:paraId="21688EAD" w14:textId="02FE0510" w:rsidR="007C6536" w:rsidRDefault="008E167E" w:rsidP="00642312">
      <w:r>
        <w:t xml:space="preserve">Line chart describing </w:t>
      </w:r>
      <w:r w:rsidR="002B603C">
        <w:t xml:space="preserve">trends in regional sales </w:t>
      </w:r>
      <w:r w:rsidR="00642312">
        <w:t>from 2006-2016</w:t>
      </w:r>
      <w:r w:rsidR="003A5E3C">
        <w:t xml:space="preserve">. </w:t>
      </w:r>
    </w:p>
    <w:p w14:paraId="4D4FD4D4" w14:textId="77777777" w:rsidR="003A5E3C" w:rsidRDefault="003A5E3C" w:rsidP="00642312"/>
    <w:p w14:paraId="6C24B968" w14:textId="4DA66ED7" w:rsidR="003A5E3C" w:rsidRDefault="003A5E3C" w:rsidP="009A6EEB">
      <w:pPr>
        <w:ind w:firstLine="720"/>
      </w:pPr>
      <w:r>
        <w:t xml:space="preserve">In the above </w:t>
      </w:r>
      <w:r w:rsidR="00112C36">
        <w:t xml:space="preserve">visualization we see that </w:t>
      </w:r>
      <w:r w:rsidR="00F145BF">
        <w:t>the</w:t>
      </w:r>
      <w:r w:rsidR="00A73316">
        <w:t xml:space="preserve"> total </w:t>
      </w:r>
      <w:r w:rsidR="00562311">
        <w:t xml:space="preserve">number of units sold has declined over the past </w:t>
      </w:r>
      <w:r w:rsidR="000663B3">
        <w:t xml:space="preserve">10 years in all </w:t>
      </w:r>
      <w:r w:rsidR="00014784">
        <w:t xml:space="preserve">regions. This contradicts </w:t>
      </w:r>
      <w:r w:rsidR="00762A2B">
        <w:t xml:space="preserve">the original expectations of the stakeholders. </w:t>
      </w:r>
      <w:r w:rsidR="0032517C">
        <w:t>Next,</w:t>
      </w:r>
      <w:r w:rsidR="00762A2B">
        <w:t xml:space="preserve"> I wanted to visualize </w:t>
      </w:r>
      <w:r w:rsidR="00D61ECD">
        <w:t>the market share for each of the regional markets</w:t>
      </w:r>
      <w:r w:rsidR="00D0317E">
        <w:t xml:space="preserve">. </w:t>
      </w:r>
    </w:p>
    <w:p w14:paraId="55AEED6C" w14:textId="77777777" w:rsidR="00D0317E" w:rsidRDefault="00D0317E" w:rsidP="00642312"/>
    <w:p w14:paraId="542E4E54" w14:textId="070C2880" w:rsidR="00642312" w:rsidRDefault="00472478" w:rsidP="00642312">
      <w:r>
        <w:rPr>
          <w:noProof/>
        </w:rPr>
        <w:drawing>
          <wp:inline distT="0" distB="0" distL="0" distR="0" wp14:anchorId="575C8C1D" wp14:editId="56248D08">
            <wp:extent cx="6453404" cy="2852382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63" cy="285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8CF1E" w14:textId="77777777" w:rsidR="00642312" w:rsidRDefault="00642312" w:rsidP="00642312"/>
    <w:p w14:paraId="50D352F7" w14:textId="4ECB6F7E" w:rsidR="0039232B" w:rsidRDefault="0039232B" w:rsidP="008830D8">
      <w:r>
        <w:t xml:space="preserve">100% Stacked Column chart describing </w:t>
      </w:r>
      <w:r w:rsidR="00332250">
        <w:t xml:space="preserve">percent of global </w:t>
      </w:r>
      <w:r>
        <w:t xml:space="preserve">sales </w:t>
      </w:r>
      <w:r w:rsidR="00332250">
        <w:t>for each</w:t>
      </w:r>
      <w:r>
        <w:t xml:space="preserve"> geographic region </w:t>
      </w:r>
      <w:r w:rsidR="00E06B2C">
        <w:t>from 2006-2016</w:t>
      </w:r>
      <w:r>
        <w:t>.</w:t>
      </w:r>
    </w:p>
    <w:p w14:paraId="629B2658" w14:textId="43A51E3C" w:rsidR="009A6EEB" w:rsidRDefault="0032517C" w:rsidP="004C2405">
      <w:pPr>
        <w:ind w:firstLine="720"/>
      </w:pPr>
      <w:r>
        <w:t xml:space="preserve">The above visualization shows </w:t>
      </w:r>
      <w:r w:rsidR="00E2144D">
        <w:t xml:space="preserve">us some interesting information about each region and how they are trending. </w:t>
      </w:r>
      <w:r w:rsidR="0064469F">
        <w:t xml:space="preserve">We first notice that </w:t>
      </w:r>
      <w:r w:rsidR="005A1FEC">
        <w:t>from 2006-2010 North America held almost 50% of the mark</w:t>
      </w:r>
      <w:r w:rsidR="00ED146D">
        <w:t>et share of units sold, followed by Europe</w:t>
      </w:r>
      <w:r w:rsidR="006374C8">
        <w:t xml:space="preserve">, and then Japan. Then something interesting happens starting in </w:t>
      </w:r>
      <w:r w:rsidR="00CC6CAF">
        <w:t xml:space="preserve">2011. The European </w:t>
      </w:r>
      <w:r w:rsidR="00A3555A">
        <w:t xml:space="preserve">market share gradually increases from 2011-2016 as the North American market share steadily declines. </w:t>
      </w:r>
      <w:r w:rsidR="00C74E0E">
        <w:t xml:space="preserve">Once </w:t>
      </w:r>
      <w:r w:rsidR="00822DC7">
        <w:t>again,</w:t>
      </w:r>
      <w:r w:rsidR="00C74E0E">
        <w:t xml:space="preserve"> the data suggests that the executive boards expectations were inaccurate and further analysis </w:t>
      </w:r>
      <w:r w:rsidR="00822DC7">
        <w:t>of the data is required to gain insights into “Why?” this is happenin</w:t>
      </w:r>
      <w:r w:rsidR="004C2405">
        <w:t>g.</w:t>
      </w:r>
    </w:p>
    <w:p w14:paraId="2203EFCE" w14:textId="77777777" w:rsidR="009A6EEB" w:rsidRDefault="009A6EEB" w:rsidP="008830D8"/>
    <w:p w14:paraId="60B4EDA1" w14:textId="77777777" w:rsidR="009A6EEB" w:rsidRDefault="009A6EEB" w:rsidP="008830D8"/>
    <w:p w14:paraId="4860928D" w14:textId="77777777" w:rsidR="009A6EEB" w:rsidRDefault="009A6EEB" w:rsidP="008830D8"/>
    <w:p w14:paraId="0E0416F9" w14:textId="77777777" w:rsidR="009A6EEB" w:rsidRDefault="009A6EEB" w:rsidP="008830D8"/>
    <w:p w14:paraId="137E8246" w14:textId="77777777" w:rsidR="004C2405" w:rsidRDefault="004C2405" w:rsidP="008830D8"/>
    <w:p w14:paraId="157A5E6C" w14:textId="77777777" w:rsidR="004C2405" w:rsidRDefault="004C2405" w:rsidP="008830D8"/>
    <w:p w14:paraId="16BCE7FF" w14:textId="77777777" w:rsidR="004C2405" w:rsidRDefault="004C2405" w:rsidP="008830D8"/>
    <w:p w14:paraId="1F781DEC" w14:textId="12851680" w:rsidR="008D57AF" w:rsidRDefault="008D57AF" w:rsidP="008830D8">
      <w:r>
        <w:lastRenderedPageBreak/>
        <w:t xml:space="preserve">Step 4: </w:t>
      </w:r>
    </w:p>
    <w:p w14:paraId="3DFC107C" w14:textId="6A57FC59" w:rsidR="00E74F3C" w:rsidRDefault="00C664B3" w:rsidP="009A6EEB">
      <w:pPr>
        <w:ind w:firstLine="720"/>
      </w:pPr>
      <w:r>
        <w:t xml:space="preserve">I chose to use </w:t>
      </w:r>
      <w:r w:rsidR="00121735">
        <w:t xml:space="preserve">clustered column charts to show </w:t>
      </w:r>
      <w:r w:rsidR="002B27A3">
        <w:t xml:space="preserve">visualize total </w:t>
      </w:r>
      <w:r w:rsidR="00EB1147">
        <w:t xml:space="preserve">units sold in millions for genre and platform data for 2016 to show stakeholders what is currently popular in each region. I </w:t>
      </w:r>
      <w:r w:rsidR="003A5B50">
        <w:t>also chose to use clustered column charts to display the top 10 publishers based on average units sold in million for each region and globally</w:t>
      </w:r>
      <w:r w:rsidR="00C41887">
        <w:t xml:space="preserve"> from 20</w:t>
      </w:r>
      <w:r w:rsidR="007A0F4E">
        <w:t>12</w:t>
      </w:r>
      <w:r w:rsidR="00C41887">
        <w:t>-2016</w:t>
      </w:r>
      <w:r w:rsidR="003A5B50">
        <w:t xml:space="preserve">. </w:t>
      </w:r>
      <w:r w:rsidR="00F6516A">
        <w:t xml:space="preserve">I chose clustered column charts because </w:t>
      </w:r>
      <w:r w:rsidR="00C41887">
        <w:t>I like how they clearly display the data I summarized in my pivot tables</w:t>
      </w:r>
      <w:r w:rsidR="007A0F4E">
        <w:t xml:space="preserve">. </w:t>
      </w:r>
      <w:r w:rsidR="00B513E7">
        <w:t xml:space="preserve">Choosing how to allocate money for marketing in different regions </w:t>
      </w:r>
      <w:r w:rsidR="009A0890">
        <w:t xml:space="preserve">seems like it can be </w:t>
      </w:r>
      <w:r w:rsidR="00AD34DC">
        <w:t>complicated</w:t>
      </w:r>
      <w:r w:rsidR="009A0890">
        <w:t>, so I wanted to make the visualizations clearly tell a story about what is happening in each region.</w:t>
      </w:r>
    </w:p>
    <w:p w14:paraId="1EEB4609" w14:textId="0AF53CFC" w:rsidR="001102F0" w:rsidRDefault="008D44EA" w:rsidP="008830D8">
      <w:r w:rsidRPr="008D44EA">
        <w:rPr>
          <w:noProof/>
        </w:rPr>
        <w:drawing>
          <wp:inline distT="0" distB="0" distL="0" distR="0" wp14:anchorId="7D314C16" wp14:editId="6740DF33">
            <wp:extent cx="5604255" cy="4334464"/>
            <wp:effectExtent l="0" t="0" r="1587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34994B2-D8A8-4AC1-A77B-93A8D9D845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4BCEC5" w14:textId="4E0BB0B9" w:rsidR="008D44EA" w:rsidRDefault="00FA190F" w:rsidP="008830D8">
      <w:r>
        <w:t xml:space="preserve">Clustered column chart describing </w:t>
      </w:r>
      <w:r w:rsidR="004902D8">
        <w:t>a</w:t>
      </w:r>
      <w:r>
        <w:t>verage North American sales</w:t>
      </w:r>
      <w:r w:rsidR="00757351">
        <w:t xml:space="preserve"> for </w:t>
      </w:r>
      <w:r w:rsidR="009A6EEB">
        <w:t>the top 10 publishers.</w:t>
      </w:r>
      <w:r>
        <w:t xml:space="preserve"> </w:t>
      </w:r>
    </w:p>
    <w:p w14:paraId="73B40A08" w14:textId="0E322897" w:rsidR="00F75E45" w:rsidRDefault="002616A1" w:rsidP="009A6EEB">
      <w:pPr>
        <w:ind w:firstLine="720"/>
      </w:pPr>
      <w:r>
        <w:t xml:space="preserve">My visualizations from step 1 </w:t>
      </w:r>
      <w:r w:rsidR="00133EC1">
        <w:t xml:space="preserve">suggested to me that there were differences in more than just sales amongst the different regions. So based on questions presented in the project brief I took a different route in my analysis. </w:t>
      </w:r>
      <w:r w:rsidR="00A94ACF">
        <w:t>I wanted to include analysis</w:t>
      </w:r>
      <w:r w:rsidR="00C7587E">
        <w:t xml:space="preserve"> and visualizations</w:t>
      </w:r>
      <w:r w:rsidR="00A94ACF">
        <w:t xml:space="preserve"> that all the stakeholders could find useful</w:t>
      </w:r>
      <w:r w:rsidR="00C7587E">
        <w:t>.</w:t>
      </w:r>
    </w:p>
    <w:p w14:paraId="1A663C7B" w14:textId="77777777" w:rsidR="0032517C" w:rsidRDefault="0032517C" w:rsidP="008830D8"/>
    <w:p w14:paraId="0F63B106" w14:textId="77777777" w:rsidR="0032517C" w:rsidRDefault="0032517C" w:rsidP="008830D8"/>
    <w:p w14:paraId="71FD146D" w14:textId="15058AF8" w:rsidR="0039232B" w:rsidRDefault="0039232B" w:rsidP="008830D8"/>
    <w:p w14:paraId="10B0F8D4" w14:textId="77777777" w:rsidR="0039232B" w:rsidRDefault="0039232B" w:rsidP="008830D8"/>
    <w:sectPr w:rsidR="0039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2ED"/>
    <w:multiLevelType w:val="hybridMultilevel"/>
    <w:tmpl w:val="237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77093"/>
    <w:multiLevelType w:val="hybridMultilevel"/>
    <w:tmpl w:val="07DA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82A99"/>
    <w:multiLevelType w:val="hybridMultilevel"/>
    <w:tmpl w:val="F5EE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607708">
    <w:abstractNumId w:val="1"/>
  </w:num>
  <w:num w:numId="2" w16cid:durableId="737241251">
    <w:abstractNumId w:val="2"/>
  </w:num>
  <w:num w:numId="3" w16cid:durableId="14574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D8"/>
    <w:rsid w:val="00014784"/>
    <w:rsid w:val="00032634"/>
    <w:rsid w:val="000663B3"/>
    <w:rsid w:val="0010757C"/>
    <w:rsid w:val="001102F0"/>
    <w:rsid w:val="00112C36"/>
    <w:rsid w:val="00121735"/>
    <w:rsid w:val="00133EC1"/>
    <w:rsid w:val="0013740D"/>
    <w:rsid w:val="00161BA1"/>
    <w:rsid w:val="00172DDA"/>
    <w:rsid w:val="00181AD3"/>
    <w:rsid w:val="001848C6"/>
    <w:rsid w:val="001A6EB8"/>
    <w:rsid w:val="001E12CD"/>
    <w:rsid w:val="002616A1"/>
    <w:rsid w:val="00292785"/>
    <w:rsid w:val="002B27A3"/>
    <w:rsid w:val="002B603C"/>
    <w:rsid w:val="0032517C"/>
    <w:rsid w:val="00332250"/>
    <w:rsid w:val="003539A6"/>
    <w:rsid w:val="0039232B"/>
    <w:rsid w:val="003A5B50"/>
    <w:rsid w:val="003A5E3C"/>
    <w:rsid w:val="003B71FC"/>
    <w:rsid w:val="00472478"/>
    <w:rsid w:val="004902D8"/>
    <w:rsid w:val="004C2405"/>
    <w:rsid w:val="00557C09"/>
    <w:rsid w:val="00562311"/>
    <w:rsid w:val="00574428"/>
    <w:rsid w:val="005A1FEC"/>
    <w:rsid w:val="006374C8"/>
    <w:rsid w:val="00642312"/>
    <w:rsid w:val="0064469F"/>
    <w:rsid w:val="00700D9B"/>
    <w:rsid w:val="00711E69"/>
    <w:rsid w:val="007358D3"/>
    <w:rsid w:val="00757351"/>
    <w:rsid w:val="00762A2B"/>
    <w:rsid w:val="007A0F4E"/>
    <w:rsid w:val="007C6536"/>
    <w:rsid w:val="007D0DF0"/>
    <w:rsid w:val="00801497"/>
    <w:rsid w:val="00822DC7"/>
    <w:rsid w:val="00844F7E"/>
    <w:rsid w:val="008830D8"/>
    <w:rsid w:val="008A3DE5"/>
    <w:rsid w:val="008D2557"/>
    <w:rsid w:val="008D44EA"/>
    <w:rsid w:val="008D57AF"/>
    <w:rsid w:val="008E0F48"/>
    <w:rsid w:val="008E167E"/>
    <w:rsid w:val="00940A72"/>
    <w:rsid w:val="009A0890"/>
    <w:rsid w:val="009A6EEB"/>
    <w:rsid w:val="00A3555A"/>
    <w:rsid w:val="00A73316"/>
    <w:rsid w:val="00A94ACF"/>
    <w:rsid w:val="00AD34DC"/>
    <w:rsid w:val="00B513E7"/>
    <w:rsid w:val="00C41887"/>
    <w:rsid w:val="00C664B3"/>
    <w:rsid w:val="00C74E0E"/>
    <w:rsid w:val="00C7587E"/>
    <w:rsid w:val="00C9149A"/>
    <w:rsid w:val="00CC6CAF"/>
    <w:rsid w:val="00CD2D47"/>
    <w:rsid w:val="00D0317E"/>
    <w:rsid w:val="00D60ABB"/>
    <w:rsid w:val="00D61ECD"/>
    <w:rsid w:val="00D6728A"/>
    <w:rsid w:val="00DB707A"/>
    <w:rsid w:val="00DC73E2"/>
    <w:rsid w:val="00DE2CE3"/>
    <w:rsid w:val="00E06B2C"/>
    <w:rsid w:val="00E2144D"/>
    <w:rsid w:val="00E74F3C"/>
    <w:rsid w:val="00E83FCC"/>
    <w:rsid w:val="00EB1147"/>
    <w:rsid w:val="00ED146D"/>
    <w:rsid w:val="00F145BF"/>
    <w:rsid w:val="00F6516A"/>
    <w:rsid w:val="00F75E45"/>
    <w:rsid w:val="00F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5F40"/>
  <w15:chartTrackingRefBased/>
  <w15:docId w15:val="{90D9D4F2-C31C-497D-B0F8-6F7D58BC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18cd7d3fa260a11/Documents/CF%20Coursework/Intro%20to%20Data%20Analytics/Final%20Project/Robert_Cheadle_Final_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[Robert_Cheadle_Final_Project.xlsx]Sheet8!PivotTable2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Sales from 2006-2016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North American Sales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Sheet8!$A$4:$A$15</c:f>
              <c:strCache>
                <c:ptCount val="11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</c:strCache>
            </c:strRef>
          </c:cat>
          <c:val>
            <c:numRef>
              <c:f>Sheet8!$B$4:$B$15</c:f>
              <c:numCache>
                <c:formatCode>General</c:formatCode>
                <c:ptCount val="11"/>
                <c:pt idx="0">
                  <c:v>263.0800000000001</c:v>
                </c:pt>
                <c:pt idx="1">
                  <c:v>311.13999999999976</c:v>
                </c:pt>
                <c:pt idx="2">
                  <c:v>351.40999999999985</c:v>
                </c:pt>
                <c:pt idx="3">
                  <c:v>338.82000000000022</c:v>
                </c:pt>
                <c:pt idx="4">
                  <c:v>304.15000000000077</c:v>
                </c:pt>
                <c:pt idx="5">
                  <c:v>241.00000000000102</c:v>
                </c:pt>
                <c:pt idx="6">
                  <c:v>154.93000000000006</c:v>
                </c:pt>
                <c:pt idx="7">
                  <c:v>154.7700000000001</c:v>
                </c:pt>
                <c:pt idx="8">
                  <c:v>131.97000000000025</c:v>
                </c:pt>
                <c:pt idx="9">
                  <c:v>102.81999999999992</c:v>
                </c:pt>
                <c:pt idx="10">
                  <c:v>22.660000000000021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E4-4849-8B15-C36218F3B2CE}"/>
            </c:ext>
          </c:extLst>
        </c:ser>
        <c:ser>
          <c:idx val="1"/>
          <c:order val="1"/>
          <c:tx>
            <c:strRef>
              <c:f>Sheet8!$C$3</c:f>
              <c:strCache>
                <c:ptCount val="1"/>
                <c:pt idx="0">
                  <c:v>European Sales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Sheet8!$A$4:$A$15</c:f>
              <c:strCache>
                <c:ptCount val="11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</c:strCache>
            </c:strRef>
          </c:cat>
          <c:val>
            <c:numRef>
              <c:f>Sheet8!$C$4:$C$15</c:f>
              <c:numCache>
                <c:formatCode>General</c:formatCode>
                <c:ptCount val="11"/>
                <c:pt idx="0">
                  <c:v>129.20000000000044</c:v>
                </c:pt>
                <c:pt idx="1">
                  <c:v>160.17999999999992</c:v>
                </c:pt>
                <c:pt idx="2">
                  <c:v>184.40000000000009</c:v>
                </c:pt>
                <c:pt idx="3">
                  <c:v>191.54000000000011</c:v>
                </c:pt>
                <c:pt idx="4">
                  <c:v>176.57000000000033</c:v>
                </c:pt>
                <c:pt idx="5">
                  <c:v>167.27000000000021</c:v>
                </c:pt>
                <c:pt idx="6">
                  <c:v>118.75999999999998</c:v>
                </c:pt>
                <c:pt idx="7">
                  <c:v>125.77000000000002</c:v>
                </c:pt>
                <c:pt idx="8">
                  <c:v>125.63000000000007</c:v>
                </c:pt>
                <c:pt idx="9">
                  <c:v>97.709999999999937</c:v>
                </c:pt>
                <c:pt idx="10">
                  <c:v>26.760000000000016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E4-4849-8B15-C36218F3B2CE}"/>
            </c:ext>
          </c:extLst>
        </c:ser>
        <c:ser>
          <c:idx val="2"/>
          <c:order val="2"/>
          <c:tx>
            <c:strRef>
              <c:f>Sheet8!$D$3</c:f>
              <c:strCache>
                <c:ptCount val="1"/>
                <c:pt idx="0">
                  <c:v>Japanese Sales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Sheet8!$A$4:$A$15</c:f>
              <c:strCache>
                <c:ptCount val="11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</c:strCache>
            </c:strRef>
          </c:cat>
          <c:val>
            <c:numRef>
              <c:f>Sheet8!$D$4:$D$15</c:f>
              <c:numCache>
                <c:formatCode>General</c:formatCode>
                <c:ptCount val="11"/>
                <c:pt idx="0">
                  <c:v>73.59</c:v>
                </c:pt>
                <c:pt idx="1">
                  <c:v>60.150000000000048</c:v>
                </c:pt>
                <c:pt idx="2">
                  <c:v>60.040000000000049</c:v>
                </c:pt>
                <c:pt idx="3">
                  <c:v>61.720000000000063</c:v>
                </c:pt>
                <c:pt idx="4">
                  <c:v>59.120000000000147</c:v>
                </c:pt>
                <c:pt idx="5">
                  <c:v>52.819999999999986</c:v>
                </c:pt>
                <c:pt idx="6">
                  <c:v>51.700000000000031</c:v>
                </c:pt>
                <c:pt idx="7">
                  <c:v>47.55</c:v>
                </c:pt>
                <c:pt idx="8">
                  <c:v>39.370000000000083</c:v>
                </c:pt>
                <c:pt idx="9">
                  <c:v>33.530000000000037</c:v>
                </c:pt>
                <c:pt idx="10">
                  <c:v>13.629999999999997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E4-4849-8B15-C36218F3B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122320"/>
        <c:axId val="1084117744"/>
      </c:lineChart>
      <c:catAx>
        <c:axId val="108412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117744"/>
        <c:crosses val="autoZero"/>
        <c:auto val="1"/>
        <c:lblAlgn val="ctr"/>
        <c:lblOffset val="100"/>
        <c:noMultiLvlLbl val="0"/>
      </c:catAx>
      <c:valAx>
        <c:axId val="1084117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12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[Robert_Cheadle_Final_Project.xlsx]na_sales_by_publisher!PivotTable1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Average NA Sales (2012-2016) per Publisher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na_sales_by_publisher!$B$5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na_sales_by_publisher!$A$6:$A$16</c:f>
              <c:strCache>
                <c:ptCount val="10"/>
                <c:pt idx="0">
                  <c:v>Microsoft Game Studios</c:v>
                </c:pt>
                <c:pt idx="1">
                  <c:v>Take-Two Interactive</c:v>
                </c:pt>
                <c:pt idx="2">
                  <c:v>Nintendo</c:v>
                </c:pt>
                <c:pt idx="3">
                  <c:v>Hello Games</c:v>
                </c:pt>
                <c:pt idx="4">
                  <c:v>NCSoft</c:v>
                </c:pt>
                <c:pt idx="5">
                  <c:v>Activision</c:v>
                </c:pt>
                <c:pt idx="6">
                  <c:v>Electronic Arts</c:v>
                </c:pt>
                <c:pt idx="7">
                  <c:v>Sony Computer Entertainment Europe</c:v>
                </c:pt>
                <c:pt idx="8">
                  <c:v>Bethesda Softworks</c:v>
                </c:pt>
                <c:pt idx="9">
                  <c:v>Sony Computer Entertainment</c:v>
                </c:pt>
              </c:strCache>
            </c:strRef>
          </c:cat>
          <c:val>
            <c:numRef>
              <c:f>na_sales_by_publisher!$B$6:$B$16</c:f>
              <c:numCache>
                <c:formatCode>0.00</c:formatCode>
                <c:ptCount val="10"/>
                <c:pt idx="0">
                  <c:v>0.9712121212121213</c:v>
                </c:pt>
                <c:pt idx="1">
                  <c:v>0.71829545454545474</c:v>
                </c:pt>
                <c:pt idx="2">
                  <c:v>0.58844827586206916</c:v>
                </c:pt>
                <c:pt idx="3">
                  <c:v>0.57999999999999996</c:v>
                </c:pt>
                <c:pt idx="4">
                  <c:v>0.51500000000000001</c:v>
                </c:pt>
                <c:pt idx="5">
                  <c:v>0.51308571428571448</c:v>
                </c:pt>
                <c:pt idx="6">
                  <c:v>0.47187499999999999</c:v>
                </c:pt>
                <c:pt idx="7">
                  <c:v>0.46307692307692311</c:v>
                </c:pt>
                <c:pt idx="8">
                  <c:v>0.44451612903225801</c:v>
                </c:pt>
                <c:pt idx="9">
                  <c:v>0.39671875000000018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0-4CBA-B0A5-9B3B0AD664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86391167"/>
        <c:axId val="486382015"/>
      </c:barChart>
      <c:catAx>
        <c:axId val="48639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382015"/>
        <c:crosses val="autoZero"/>
        <c:auto val="1"/>
        <c:lblAlgn val="ctr"/>
        <c:lblOffset val="100"/>
        <c:noMultiLvlLbl val="0"/>
      </c:catAx>
      <c:valAx>
        <c:axId val="486382015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48639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acrossLinear" id="2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1001-11E7-4F00-921A-1B727A14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Cheadle</dc:creator>
  <cp:keywords/>
  <dc:description/>
  <cp:lastModifiedBy>Robert Cheadle</cp:lastModifiedBy>
  <cp:revision>82</cp:revision>
  <dcterms:created xsi:type="dcterms:W3CDTF">2022-07-11T14:20:00Z</dcterms:created>
  <dcterms:modified xsi:type="dcterms:W3CDTF">2022-07-12T02:18:00Z</dcterms:modified>
</cp:coreProperties>
</file>