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30BF" w:rsidRDefault="00920CF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rzkflq3mambe" w:colFirst="0" w:colLast="0"/>
      <w:bookmarkEnd w:id="0"/>
      <w:r>
        <w:rPr>
          <w:b/>
          <w:sz w:val="46"/>
          <w:szCs w:val="46"/>
        </w:rPr>
        <w:t xml:space="preserve">K-State Item Information - </w:t>
      </w:r>
      <w:proofErr w:type="spellStart"/>
      <w:r>
        <w:rPr>
          <w:b/>
          <w:sz w:val="46"/>
          <w:szCs w:val="46"/>
        </w:rPr>
        <w:t>muestra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información</w:t>
      </w:r>
      <w:proofErr w:type="spellEnd"/>
      <w:r>
        <w:rPr>
          <w:b/>
          <w:sz w:val="46"/>
          <w:szCs w:val="46"/>
        </w:rPr>
        <w:t xml:space="preserve"> </w:t>
      </w:r>
      <w:proofErr w:type="gramStart"/>
      <w:r>
        <w:rPr>
          <w:b/>
          <w:sz w:val="46"/>
          <w:szCs w:val="46"/>
        </w:rPr>
        <w:t>del</w:t>
      </w:r>
      <w:proofErr w:type="gram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artículo</w:t>
      </w:r>
      <w:proofErr w:type="spellEnd"/>
    </w:p>
    <w:p w14:paraId="00000002" w14:textId="2055C4EB" w:rsidR="00B030BF" w:rsidRDefault="00920CFA">
      <w:pPr>
        <w:spacing w:before="240" w:after="240"/>
      </w:pP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desempacar</w:t>
      </w:r>
      <w:proofErr w:type="spellEnd"/>
      <w:r>
        <w:t xml:space="preserve"> al </w:t>
      </w:r>
      <w:proofErr w:type="spellStart"/>
      <w:r>
        <w:t>proporcionarle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Le </w:t>
      </w:r>
      <w:proofErr w:type="spellStart"/>
      <w:r>
        <w:t>proporciona</w:t>
      </w:r>
      <w:proofErr w:type="spellEnd"/>
      <w:r>
        <w:t xml:space="preserve"> el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físico</w:t>
      </w:r>
      <w:proofErr w:type="spellEnd"/>
      <w:r>
        <w:t xml:space="preserve">,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>
        <w:t xml:space="preserve">, </w:t>
      </w:r>
      <w:proofErr w:type="spellStart"/>
      <w:r>
        <w:rPr>
          <w:b/>
        </w:rPr>
        <w:t>Descripción</w:t>
      </w:r>
      <w:proofErr w:type="spellEnd"/>
      <w:r>
        <w:t xml:space="preserve">,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procedencia</w:t>
      </w:r>
      <w:proofErr w:type="spellEnd"/>
      <w:r>
        <w:t xml:space="preserve">, </w:t>
      </w:r>
      <w:proofErr w:type="spellStart"/>
      <w:r>
        <w:rPr>
          <w:b/>
        </w:rPr>
        <w:t>Ubicación</w:t>
      </w:r>
      <w:proofErr w:type="spellEnd"/>
      <w:r>
        <w:t xml:space="preserve">,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t xml:space="preserve">, </w:t>
      </w:r>
      <w:r w:rsidR="00456DBD">
        <w:rPr>
          <w:b/>
        </w:rPr>
        <w:t xml:space="preserve">Nota de </w:t>
      </w:r>
      <w:proofErr w:type="spellStart"/>
      <w:r w:rsidR="00456DBD">
        <w:rPr>
          <w:b/>
        </w:rPr>
        <w:t>Procesamiento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b/>
        </w:rPr>
        <w:t>Destino</w:t>
      </w:r>
      <w:proofErr w:type="spellEnd"/>
      <w:r>
        <w:t xml:space="preserve"> final.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codificada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visual </w:t>
      </w:r>
      <w:proofErr w:type="spellStart"/>
      <w:r>
        <w:t>estimulada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que revise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 xml:space="preserve"> de color a </w:t>
      </w:r>
      <w:proofErr w:type="spellStart"/>
      <w:r>
        <w:t>continuación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primer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. 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, no dude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 xml:space="preserve"> al personal de la </w:t>
      </w:r>
      <w:proofErr w:type="spellStart"/>
      <w:r>
        <w:t>biblioteca</w:t>
      </w:r>
      <w:proofErr w:type="spellEnd"/>
      <w:r>
        <w:t>.</w:t>
      </w:r>
    </w:p>
    <w:p w14:paraId="00000003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bhr1u0cbv6xz" w:colFirst="0" w:colLast="0"/>
      <w:bookmarkEnd w:id="1"/>
      <w:r>
        <w:rPr>
          <w:b/>
          <w:sz w:val="34"/>
          <w:szCs w:val="34"/>
        </w:rPr>
        <w:t>Entrada</w:t>
      </w:r>
    </w:p>
    <w:p w14:paraId="00000004" w14:textId="77777777" w:rsidR="00B030BF" w:rsidRDefault="00920CFA">
      <w:pPr>
        <w:numPr>
          <w:ilvl w:val="0"/>
          <w:numId w:val="1"/>
        </w:numPr>
        <w:spacing w:before="240" w:after="240"/>
      </w:pP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desempaquetado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cubierta</w:t>
      </w:r>
      <w:proofErr w:type="spellEnd"/>
      <w:r>
        <w:t xml:space="preserve"> exterior, </w:t>
      </w:r>
      <w:proofErr w:type="spellStart"/>
      <w:r>
        <w:t>cubierta</w:t>
      </w:r>
      <w:proofErr w:type="spellEnd"/>
      <w:r>
        <w:t xml:space="preserve"> interior o </w:t>
      </w:r>
      <w:proofErr w:type="spellStart"/>
      <w:r>
        <w:t>dentro</w:t>
      </w:r>
      <w:proofErr w:type="spellEnd"/>
      <w:r>
        <w:t xml:space="preserve"> de las </w:t>
      </w:r>
      <w:proofErr w:type="spellStart"/>
      <w:r>
        <w:t>primeras</w:t>
      </w:r>
      <w:proofErr w:type="spellEnd"/>
      <w:r>
        <w:t xml:space="preserve"> 5 </w:t>
      </w:r>
      <w:proofErr w:type="spellStart"/>
      <w:r>
        <w:t>páginas</w:t>
      </w:r>
      <w:proofErr w:type="spellEnd"/>
      <w:r>
        <w:t xml:space="preserve">.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escanearse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ingresarse</w:t>
      </w:r>
      <w:proofErr w:type="spellEnd"/>
      <w:r>
        <w:t xml:space="preserve">. La </w:t>
      </w:r>
      <w:proofErr w:type="spellStart"/>
      <w:r>
        <w:t>búsqueda</w:t>
      </w:r>
      <w:proofErr w:type="spellEnd"/>
      <w:r>
        <w:t xml:space="preserve"> no distingue entre </w:t>
      </w:r>
      <w:proofErr w:type="spellStart"/>
      <w:r>
        <w:t>mayúsculas</w:t>
      </w:r>
      <w:proofErr w:type="spellEnd"/>
      <w:r>
        <w:t xml:space="preserve"> y </w:t>
      </w:r>
      <w:proofErr w:type="spellStart"/>
      <w:r>
        <w:t>minúsculas</w:t>
      </w:r>
      <w:proofErr w:type="spellEnd"/>
      <w:r>
        <w:t>.</w:t>
      </w:r>
    </w:p>
    <w:p w14:paraId="00000005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e3lmtf2hjr9" w:colFirst="0" w:colLast="0"/>
      <w:bookmarkEnd w:id="2"/>
      <w:proofErr w:type="spellStart"/>
      <w:r>
        <w:rPr>
          <w:b/>
          <w:sz w:val="34"/>
          <w:szCs w:val="34"/>
        </w:rPr>
        <w:t>Procedimiento</w:t>
      </w:r>
      <w:proofErr w:type="spellEnd"/>
    </w:p>
    <w:p w14:paraId="00000006" w14:textId="7DEE3130" w:rsidR="00B030BF" w:rsidRDefault="00920CFA">
      <w:pPr>
        <w:spacing w:before="240" w:after="240"/>
      </w:pPr>
      <w:r>
        <w:t xml:space="preserve">El primer </w:t>
      </w:r>
      <w:proofErr w:type="spellStart"/>
      <w:r>
        <w:t>formulario</w:t>
      </w:r>
      <w:proofErr w:type="spellEnd"/>
      <w:r>
        <w:t xml:space="preserve"> le </w:t>
      </w:r>
      <w:proofErr w:type="spellStart"/>
      <w:r>
        <w:t>pide</w:t>
      </w:r>
      <w:proofErr w:type="spellEnd"/>
      <w:r>
        <w:t xml:space="preserve"> que </w:t>
      </w:r>
      <w:proofErr w:type="spellStart"/>
      <w:r>
        <w:t>escanee</w:t>
      </w:r>
      <w:proofErr w:type="spellEnd"/>
      <w:r>
        <w:t xml:space="preserve"> el </w:t>
      </w:r>
      <w:proofErr w:type="spellStart"/>
      <w:r w:rsidR="00456DBD">
        <w:t>código</w:t>
      </w:r>
      <w:proofErr w:type="spellEnd"/>
      <w:r w:rsidR="00456DBD">
        <w:t xml:space="preserve"> de </w:t>
      </w:r>
      <w:proofErr w:type="spellStart"/>
      <w:r w:rsidR="00456DBD">
        <w:t>barras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ingresandolos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ingre</w:t>
      </w:r>
      <w:bookmarkStart w:id="3" w:name="_GoBack"/>
      <w:bookmarkEnd w:id="3"/>
      <w:r>
        <w:t>se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forma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>:</w:t>
      </w:r>
    </w:p>
    <w:p w14:paraId="00000007" w14:textId="77777777" w:rsidR="00B030BF" w:rsidRDefault="00920CFA">
      <w:pPr>
        <w:spacing w:before="240" w:after="240"/>
      </w:pPr>
      <w:r>
        <w:t xml:space="preserve">Si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recibirá</w:t>
      </w:r>
      <w:proofErr w:type="spellEnd"/>
      <w:r>
        <w:t xml:space="preserve"> un error. </w:t>
      </w:r>
      <w:proofErr w:type="spellStart"/>
      <w:r>
        <w:t>Verifique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para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error,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00000008" w14:textId="77777777" w:rsidR="00B030BF" w:rsidRDefault="00B030BF"/>
    <w:p w14:paraId="00000009" w14:textId="38DBD7F2" w:rsidR="00B030BF" w:rsidRDefault="00920CFA">
      <w:pPr>
        <w:spacing w:before="240" w:after="240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proofErr w:type="gramStart"/>
      <w:r>
        <w:rPr>
          <w:b/>
        </w:rPr>
        <w:t>desempaquetado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r>
        <w:t xml:space="preserve">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superior de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 </w:t>
      </w:r>
      <w:proofErr w:type="spellStart"/>
      <w:proofErr w:type="gramStart"/>
      <w:r>
        <w:rPr>
          <w:b/>
        </w:rPr>
        <w:t>Título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barras</w:t>
      </w:r>
      <w:proofErr w:type="spellEnd"/>
      <w:r>
        <w:t xml:space="preserve">,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r>
        <w:t xml:space="preserve">, </w:t>
      </w:r>
      <w:r w:rsidR="00456DBD">
        <w:rPr>
          <w:b/>
        </w:rPr>
        <w:t xml:space="preserve">Nota de </w:t>
      </w:r>
      <w:proofErr w:type="spellStart"/>
      <w:r w:rsidR="00456DBD">
        <w:rPr>
          <w:b/>
        </w:rPr>
        <w:t>Procesamiento</w:t>
      </w:r>
      <w:proofErr w:type="spellEnd"/>
      <w:r>
        <w:rPr>
          <w:b/>
        </w:rPr>
        <w:t xml:space="preserve"> </w:t>
      </w:r>
      <w:r>
        <w:t xml:space="preserve">, y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proofErr w:type="spellStart"/>
      <w:r>
        <w:t>nuevamente</w:t>
      </w:r>
      <w:proofErr w:type="spellEnd"/>
      <w:r>
        <w:t xml:space="preserve">. El color de </w:t>
      </w:r>
      <w:proofErr w:type="spellStart"/>
      <w:r>
        <w:t>fondo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el </w:t>
      </w:r>
      <w:proofErr w:type="spellStart"/>
      <w:r>
        <w:t>destino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. </w:t>
      </w:r>
      <w:r>
        <w:rPr>
          <w:b/>
        </w:rPr>
        <w:t xml:space="preserve">Revise la </w:t>
      </w:r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color a </w:t>
      </w:r>
      <w:proofErr w:type="spellStart"/>
      <w:r>
        <w:rPr>
          <w:b/>
        </w:rPr>
        <w:t>continuación</w:t>
      </w:r>
      <w:proofErr w:type="spellEnd"/>
      <w:r>
        <w:rPr>
          <w:b/>
        </w:rPr>
        <w:t xml:space="preserve">. </w:t>
      </w:r>
      <w:r>
        <w:t xml:space="preserve">Si la fila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proofErr w:type="spellStart"/>
      <w:r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>
        <w:t xml:space="preserve"> de </w:t>
      </w:r>
      <w:proofErr w:type="spellStart"/>
      <w:r>
        <w:t>rojo</w:t>
      </w:r>
      <w:proofErr w:type="spellEnd"/>
      <w:r>
        <w:t xml:space="preserve">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ignorando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. Si la fila </w:t>
      </w:r>
      <w:r>
        <w:rPr>
          <w:b/>
        </w:rPr>
        <w:t xml:space="preserve">Nota de </w:t>
      </w:r>
      <w:proofErr w:type="spellStart"/>
      <w:r>
        <w:rPr>
          <w:b/>
        </w:rPr>
        <w:t>cumplimiento</w:t>
      </w:r>
      <w:proofErr w:type="spellEnd"/>
      <w:r>
        <w:rPr>
          <w:b/>
        </w:rPr>
        <w:t xml:space="preserve"> </w:t>
      </w:r>
      <w:proofErr w:type="spellStart"/>
      <w:r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>
        <w:t xml:space="preserve"> </w:t>
      </w:r>
      <w:proofErr w:type="spellStart"/>
      <w:proofErr w:type="gramStart"/>
      <w:r>
        <w:t>rojo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t>ignorando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:</w:t>
      </w:r>
    </w:p>
    <w:p w14:paraId="0000000A" w14:textId="77777777" w:rsidR="00B030BF" w:rsidRDefault="00B030BF"/>
    <w:p w14:paraId="0000000B" w14:textId="77777777" w:rsidR="00B030BF" w:rsidRDefault="00920CFA">
      <w:pPr>
        <w:spacing w:before="240" w:after="240"/>
      </w:pPr>
      <w:proofErr w:type="spellStart"/>
      <w:r>
        <w:lastRenderedPageBreak/>
        <w:t>Cuando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inferior de la </w:t>
      </w:r>
      <w:proofErr w:type="spellStart"/>
      <w:r>
        <w:t>página</w:t>
      </w:r>
      <w:proofErr w:type="spellEnd"/>
      <w:r>
        <w:t>:</w:t>
      </w:r>
    </w:p>
    <w:p w14:paraId="0000000C" w14:textId="77777777" w:rsidR="00B030BF" w:rsidRDefault="00B030BF"/>
    <w:p w14:paraId="0000000D" w14:textId="77777777" w:rsidR="00B030BF" w:rsidRDefault="00B030BF"/>
    <w:p w14:paraId="0000000E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odxxwkaiuxj" w:colFirst="0" w:colLast="0"/>
      <w:bookmarkEnd w:id="4"/>
      <w:proofErr w:type="spellStart"/>
      <w:r>
        <w:rPr>
          <w:b/>
          <w:sz w:val="34"/>
          <w:szCs w:val="34"/>
        </w:rPr>
        <w:t>Tabla</w:t>
      </w:r>
      <w:proofErr w:type="spellEnd"/>
      <w:r>
        <w:rPr>
          <w:b/>
          <w:sz w:val="34"/>
          <w:szCs w:val="34"/>
        </w:rPr>
        <w:t xml:space="preserve"> de </w:t>
      </w:r>
      <w:proofErr w:type="spellStart"/>
      <w:r>
        <w:rPr>
          <w:b/>
          <w:sz w:val="34"/>
          <w:szCs w:val="34"/>
        </w:rPr>
        <w:t>códigos</w:t>
      </w:r>
      <w:proofErr w:type="spellEnd"/>
      <w:r>
        <w:rPr>
          <w:b/>
          <w:sz w:val="34"/>
          <w:szCs w:val="34"/>
        </w:rPr>
        <w:t xml:space="preserve"> de color</w:t>
      </w:r>
    </w:p>
    <w:p w14:paraId="0000000F" w14:textId="77777777" w:rsidR="00B030BF" w:rsidRDefault="00920CFA">
      <w:proofErr w:type="spellStart"/>
      <w:r>
        <w:t>Destino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</w:p>
    <w:p w14:paraId="00000010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de </w:t>
      </w:r>
      <w:proofErr w:type="spellStart"/>
      <w:r>
        <w:t>devolución</w:t>
      </w:r>
      <w:proofErr w:type="spellEnd"/>
      <w:r>
        <w:t xml:space="preserve"> HALE </w:t>
      </w:r>
    </w:p>
    <w:p w14:paraId="00000011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ANNEX ingest</w:t>
      </w:r>
    </w:p>
    <w:p w14:paraId="00000012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 WITHDRAWN </w:t>
      </w:r>
    </w:p>
    <w:p w14:paraId="00000013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4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5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</w:t>
      </w:r>
    </w:p>
    <w:p w14:paraId="00000016" w14:textId="77777777" w:rsidR="00B030BF" w:rsidRDefault="00B030BF"/>
    <w:sectPr w:rsidR="00B03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72C5A"/>
    <w:multiLevelType w:val="multilevel"/>
    <w:tmpl w:val="71FC5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BF"/>
    <w:rsid w:val="00456DBD"/>
    <w:rsid w:val="00920CFA"/>
    <w:rsid w:val="00B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B68E4-7CD4-41A7-A311-98F53ECB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2326</Characters>
  <Application>Microsoft Office Word</Application>
  <DocSecurity>0</DocSecurity>
  <Lines>19</Lines>
  <Paragraphs>5</Paragraphs>
  <ScaleCrop>false</ScaleCrop>
  <Company>Kansas State University Libraries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Deiser</dc:creator>
  <cp:lastModifiedBy>Raymond Deiser</cp:lastModifiedBy>
  <cp:revision>3</cp:revision>
  <dcterms:created xsi:type="dcterms:W3CDTF">2020-01-30T15:29:00Z</dcterms:created>
  <dcterms:modified xsi:type="dcterms:W3CDTF">2020-01-31T18:42:00Z</dcterms:modified>
</cp:coreProperties>
</file>