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3: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0" w:name="resumen-breve"/>
    <w:p>
      <w:pPr>
        <w:pStyle w:val="Heading1"/>
      </w:pPr>
      <w:r>
        <w:t xml:space="preserve">Resumen breve</w:t>
      </w:r>
    </w:p>
    <w:p>
      <w:pPr>
        <w:numPr>
          <w:ilvl w:val="0"/>
          <w:numId w:val="1001"/>
        </w:numPr>
      </w:pPr>
      <w:r>
        <w:t xml:space="preserve">Hemos visto que gran parte de nuestra lengua no se aprende. Tenemos</w:t>
      </w:r>
      <w:r>
        <w:t xml:space="preserve"> </w:t>
      </w:r>
      <w:r>
        <w:rPr>
          <w:bCs/>
          <w:b/>
        </w:rPr>
        <w:t xml:space="preserve">conocimientos tácitos</w:t>
      </w:r>
      <w:r>
        <w:t xml:space="preserve">, sin que nos los hayan enseñado de forma explicita.</w:t>
      </w:r>
    </w:p>
    <w:p>
      <w:pPr>
        <w:numPr>
          <w:ilvl w:val="0"/>
          <w:numId w:val="1001"/>
        </w:numPr>
      </w:pPr>
      <w:r>
        <w:t xml:space="preserve">La conclusión de Chomsky: La capacidad de los humanos para el Lenguaje es innata (es un instinto). Estamos preprogramados para tener y usar el</w:t>
      </w:r>
      <w:r>
        <w:t xml:space="preserve"> </w:t>
      </w:r>
      <w:r>
        <w:rPr>
          <w:bCs/>
          <w:b/>
        </w:rPr>
        <w:t xml:space="preserve">Lenguaje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 parte común compartida entre todos seres humanos,</w:t>
      </w:r>
      <w:r>
        <w:t xml:space="preserve"> </w:t>
      </w:r>
      <w:r>
        <w:rPr>
          <w:bCs/>
          <w:b/>
        </w:rPr>
        <w:t xml:space="preserve">la gramatical universal</w:t>
      </w:r>
      <w:r>
        <w:t xml:space="preserve">, tiene que ser suficientemente</w:t>
      </w:r>
      <w:r>
        <w:t xml:space="preserve"> </w:t>
      </w:r>
      <w:r>
        <w:rPr>
          <w:bCs/>
          <w:b/>
        </w:rPr>
        <w:t xml:space="preserve">abstracto</w:t>
      </w:r>
      <w:r>
        <w:t xml:space="preserve"> </w:t>
      </w:r>
      <w:r>
        <w:t xml:space="preserve">como para permitir que los niños adquieren cualquier lengua humana.</w:t>
      </w:r>
    </w:p>
    <w:bookmarkEnd w:id="20"/>
    <w:bookmarkStart w:id="21" w:name="el-objeto-de-estudio"/>
    <w:p>
      <w:pPr>
        <w:pStyle w:val="Heading1"/>
      </w:pPr>
      <w:r>
        <w:t xml:space="preserve">El objeto de estudio</w:t>
      </w:r>
    </w:p>
    <w:p>
      <w:pPr>
        <w:numPr>
          <w:ilvl w:val="0"/>
          <w:numId w:val="1002"/>
        </w:numPr>
      </w:pPr>
      <w:r>
        <w:t xml:space="preserve">Queremos investigar este objeto abstracto y determinar lo que es, su partes etc.</w:t>
      </w:r>
    </w:p>
    <w:p>
      <w:pPr>
        <w:numPr>
          <w:ilvl w:val="0"/>
          <w:numId w:val="1002"/>
        </w:numPr>
      </w:pPr>
      <w:r>
        <w:t xml:space="preserve">Es decir, nos interesa</w:t>
      </w:r>
      <w:r>
        <w:t xml:space="preserve"> </w:t>
      </w:r>
      <w:r>
        <w:rPr>
          <w:bCs/>
          <w:b/>
        </w:rPr>
        <w:t xml:space="preserve">la competencia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actuación</w:t>
      </w:r>
      <w:r>
        <w:t xml:space="preserve"> </w:t>
      </w:r>
      <w:r>
        <w:t xml:space="preserve">de una lengua.</w:t>
      </w:r>
    </w:p>
    <w:p>
      <w:pPr>
        <w:pStyle w:val="FirstParagraph"/>
      </w:pPr>
      <w:r>
        <w:rPr>
          <w:bCs/>
          <w:b/>
        </w:rPr>
        <w:t xml:space="preserve">La competencia</w:t>
      </w:r>
      <w:r>
        <w:t xml:space="preserve">: El conocimiento (muy a menudo tácito) que tiene un hablante de su lengua materna. → Es un objeto interno de la mente humana.</w:t>
      </w:r>
      <w:r>
        <w:t xml:space="preserve"> </w:t>
      </w:r>
      <w:r>
        <w:t xml:space="preserve">- lo que uno sabe cuando se dice que</w:t>
      </w:r>
      <w:r>
        <w:t xml:space="preserve"> </w:t>
      </w:r>
      <w:r>
        <w:rPr>
          <w:iCs/>
          <w:i/>
        </w:rPr>
        <w:t xml:space="preserve">uno sabe un idioma</w:t>
      </w:r>
      <w:r>
        <w:t xml:space="preserve"> </w:t>
      </w:r>
      <w:r>
        <w:t xml:space="preserve">es su competencia</w:t>
      </w:r>
    </w:p>
    <w:p>
      <w:pPr>
        <w:pStyle w:val="BodyText"/>
      </w:pPr>
      <w:r>
        <w:rPr>
          <w:bCs/>
          <w:b/>
        </w:rPr>
        <w:t xml:space="preserve">La actuación</w:t>
      </w:r>
      <w:r>
        <w:t xml:space="preserve">: La producción/la externalización de la lengua, lo que</w:t>
      </w:r>
      <w:r>
        <w:t xml:space="preserve"> </w:t>
      </w:r>
      <w:r>
        <w:t xml:space="preserve">“</w:t>
      </w:r>
      <w:r>
        <w:t xml:space="preserve">sale de la boca</w:t>
      </w:r>
      <w:r>
        <w:t xml:space="preserve">”</w:t>
      </w:r>
      <w:r>
        <w:t xml:space="preserve"> </w:t>
      </w:r>
      <w:r>
        <w:t xml:space="preserve">cuando hablamos.</w:t>
      </w:r>
      <w:r>
        <w:t xml:space="preserve"> </w:t>
      </w:r>
      <w:r>
        <w:t xml:space="preserve">- cómo utilizamos el lenguaje o lo que producimos el es la actuación (</w:t>
      </w:r>
      <w:r>
        <w:t xml:space="preserve">“</w:t>
      </w:r>
      <w:r>
        <w:t xml:space="preserve">performance</w:t>
      </w:r>
      <w:r>
        <w:t xml:space="preserve">”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Pregunta:</w:t>
      </w:r>
      <w:r>
        <w:t xml:space="preserve"> </w:t>
      </w:r>
      <w:r>
        <w:t xml:space="preserve">¿Cómo accedemos a la competencia? ¿Cuáles son nuestras fuentes de datos?</w:t>
      </w:r>
    </w:p>
    <w:p>
      <w:pPr>
        <w:pStyle w:val="BodyText"/>
      </w:pPr>
      <w:r>
        <w:rPr>
          <w:bCs/>
          <w:b/>
        </w:rPr>
        <w:t xml:space="preserve">Respuesta:</w:t>
      </w:r>
      <w:r>
        <w:t xml:space="preserve"> </w:t>
      </w:r>
      <w:r>
        <w:t xml:space="preserve">Hay dos principales: (i) los corpus; y (ii) los juicios de (a)gramaticalidad del nativo hablante.</w:t>
      </w:r>
    </w:p>
    <w:bookmarkEnd w:id="21"/>
    <w:bookmarkStart w:id="25" w:name="las-fuentes-de-datos"/>
    <w:p>
      <w:pPr>
        <w:pStyle w:val="Heading1"/>
      </w:pPr>
      <w:r>
        <w:t xml:space="preserve">Las fuentes de datos</w:t>
      </w:r>
    </w:p>
    <w:bookmarkStart w:id="22" w:name="los-corpus"/>
    <w:p>
      <w:pPr>
        <w:pStyle w:val="Heading2"/>
      </w:pPr>
      <w:r>
        <w:t xml:space="preserve">Los corpus</w:t>
      </w:r>
    </w:p>
    <w:p>
      <w:pPr>
        <w:numPr>
          <w:ilvl w:val="0"/>
          <w:numId w:val="1003"/>
        </w:numPr>
        <w:pStyle w:val="Compact"/>
      </w:pPr>
      <w:r>
        <w:t xml:space="preserve">Los corpus de idiomas hablados y escritos; Grabaciones del habla actual de la gente; Grabaciones de conversaciones telefónicas; Periódicos, libros y revistas; Cuentos folclóricos grabados en el campo; El internet, etc.</w:t>
      </w:r>
    </w:p>
    <w:bookmarkEnd w:id="22"/>
    <w:bookmarkStart w:id="23" w:name="Xaef480b62c16dd285bc06bb9e063d4c616d88e7"/>
    <w:p>
      <w:pPr>
        <w:pStyle w:val="Heading2"/>
      </w:pPr>
      <w:r>
        <w:t xml:space="preserve">Los juicios de (a)gramaticalidad – las intuiciones</w:t>
      </w:r>
    </w:p>
    <w:p>
      <w:pPr>
        <w:numPr>
          <w:ilvl w:val="0"/>
          <w:numId w:val="1004"/>
        </w:numPr>
        <w:pStyle w:val="Compact"/>
      </w:pPr>
      <w:r>
        <w:t xml:space="preserve">Empleamos una técnica especial para sacar a luz los conocimientos innatos que tiene un nativo hablante sobre la sintaxis.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Juan compró la película.</w:t>
      </w:r>
    </w:p>
    <w:p>
      <w:pPr>
        <w:numPr>
          <w:ilvl w:val="1"/>
          <w:numId w:val="1006"/>
        </w:numPr>
        <w:pStyle w:val="Compact"/>
      </w:pPr>
      <w:r>
        <w:t xml:space="preserve">*Juan compró a la película.</w:t>
      </w:r>
    </w:p>
    <w:p>
      <w:pPr>
        <w:numPr>
          <w:ilvl w:val="0"/>
          <w:numId w:val="1007"/>
        </w:numPr>
      </w:pPr>
      <w:r>
        <w:t xml:space="preserve">Los juicios de gramaticalidad son experimentalmente válidos y</w:t>
      </w:r>
      <w:r>
        <w:t xml:space="preserve"> </w:t>
      </w:r>
      <w:r>
        <w:t xml:space="preserve">estadísticamente robustos.</w:t>
      </w:r>
    </w:p>
    <w:p>
      <w:pPr>
        <w:numPr>
          <w:ilvl w:val="0"/>
          <w:numId w:val="1007"/>
        </w:numPr>
      </w:pPr>
      <w:r>
        <w:t xml:space="preserve">Son una indicación del sistema interna que regula la formación de las oraciones del idioma.</w:t>
      </w:r>
    </w:p>
    <w:bookmarkEnd w:id="23"/>
    <w:bookmarkStart w:id="24" w:name="X302926e969602516122e85a5bef30a344699583"/>
    <w:p>
      <w:pPr>
        <w:pStyle w:val="Heading2"/>
      </w:pPr>
      <w:r>
        <w:t xml:space="preserve">Juicios sintácticos vs. juicios semánticos</w:t>
      </w:r>
    </w:p>
    <w:p>
      <w:pPr>
        <w:numPr>
          <w:ilvl w:val="0"/>
          <w:numId w:val="1008"/>
        </w:numPr>
        <w:pStyle w:val="Compact"/>
      </w:pPr>
      <w:r>
        <w:t xml:space="preserve">Los juicios sintácticos tienen que ver con la</w:t>
      </w:r>
      <w:r>
        <w:t xml:space="preserve"> </w:t>
      </w:r>
      <w:r>
        <w:rPr>
          <w:bCs/>
          <w:b/>
        </w:rPr>
        <w:t xml:space="preserve">FORMA/ESTRUCTURA</w:t>
      </w:r>
      <w:r>
        <w:t xml:space="preserve"> </w:t>
      </w:r>
      <w:r>
        <w:t xml:space="preserve">de una oración y se marca con un asterisco (“*”) para indicar un problema sintáctico – cuando la oración es agramatical.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*Han los niños jugado.</w:t>
      </w:r>
    </w:p>
    <w:p>
      <w:pPr>
        <w:numPr>
          <w:ilvl w:val="1"/>
          <w:numId w:val="1010"/>
        </w:numPr>
        <w:pStyle w:val="Compact"/>
      </w:pPr>
      <w:r>
        <w:t xml:space="preserve">*Padres llevan a sus hijos a la escuela.</w:t>
      </w:r>
    </w:p>
    <w:p>
      <w:pPr>
        <w:numPr>
          <w:ilvl w:val="0"/>
          <w:numId w:val="1011"/>
        </w:numPr>
        <w:pStyle w:val="Compact"/>
      </w:pPr>
      <w:r>
        <w:t xml:space="preserve">Los juicios semánticos tienen que ver con el</w:t>
      </w:r>
      <w:r>
        <w:t xml:space="preserve"> </w:t>
      </w:r>
      <w:r>
        <w:rPr>
          <w:bCs/>
          <w:b/>
        </w:rPr>
        <w:t xml:space="preserve">SIGNIFICADO</w:t>
      </w:r>
      <w:r>
        <w:t xml:space="preserve"> </w:t>
      </w:r>
      <w:r>
        <w:t xml:space="preserve">de una oración y se marca con un hashtag (</w:t>
      </w:r>
      <w:r>
        <w:t xml:space="preserve">“</w:t>
      </w:r>
      <w:r>
        <w:t xml:space="preserve">#</w:t>
      </w:r>
      <w:r>
        <w:t xml:space="preserve">”</w:t>
      </w:r>
      <w:r>
        <w:t xml:space="preserve">) para indicar un problema semántico – cuando la oración es anómala.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#El archivador se bebió una silla.</w:t>
      </w:r>
    </w:p>
    <w:p>
      <w:pPr>
        <w:numPr>
          <w:ilvl w:val="1"/>
          <w:numId w:val="1013"/>
        </w:numPr>
        <w:pStyle w:val="Compact"/>
      </w:pPr>
      <w:r>
        <w:t xml:space="preserve">#Las ideas incoloras verdosas duermen furiosamente.</w:t>
      </w:r>
      <w:r>
        <w:t xml:space="preserve"> </w:t>
      </w:r>
      <w:r>
        <w:t xml:space="preserve">(</w:t>
      </w:r>
      <w:r>
        <w:t xml:space="preserve">“</w:t>
      </w:r>
      <w:r>
        <w:t xml:space="preserve">Colorless green ideas sleep furiously</w:t>
      </w:r>
      <w:r>
        <w:t xml:space="preserve">”</w:t>
      </w:r>
      <w:r>
        <w:t xml:space="preserve"> </w:t>
      </w:r>
      <w:r>
        <w:t xml:space="preserve">Chomsky (1959))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Es posible que en algunos casos la interpretación es importante, pero nos interesa más aquí los juicios sintácticos – con oraciones estructuralmente ambiguas.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El chico tocó el oso con una rama.</w:t>
      </w:r>
    </w:p>
    <w:p>
      <w:pPr>
        <w:numPr>
          <w:ilvl w:val="1"/>
          <w:numId w:val="1015"/>
        </w:numPr>
        <w:pStyle w:val="Compact"/>
      </w:pPr>
      <w:r>
        <w:t xml:space="preserve">El chico lo tocó con una rama.</w:t>
      </w:r>
    </w:p>
    <w:p>
      <w:pPr>
        <w:pStyle w:val="FirstParagraph"/>
      </w:pPr>
      <w:r>
        <w:t xml:space="preserve">El conjunto de oraciones gramaticales y agramaticales forman nuestra base de datos. Son observaciones (tal como los astrólogos observan el comportamiento de los cuerpos celestiales) a base de los cuales queremos determinar la esencia del objeto interno de estudio:</w:t>
      </w:r>
      <w:r>
        <w:t xml:space="preserve"> </w:t>
      </w:r>
      <w:r>
        <w:rPr>
          <w:bCs/>
          <w:b/>
        </w:rPr>
        <w:t xml:space="preserve">la gramatical universal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Nuestra perspectiva es la organización cognitiva de la estructura de la oración en le mente del hablante nativo.</w:t>
      </w:r>
    </w:p>
    <w:p>
      <w:pPr>
        <w:pStyle w:val="FirstParagraph"/>
      </w:pPr>
      <w:r>
        <w:rPr>
          <w:bCs/>
          <w:b/>
        </w:rPr>
        <w:t xml:space="preserve">Pregunta</w:t>
      </w:r>
      <w:r>
        <w:t xml:space="preserve">: Pero ¿Cómo se hace esto?</w:t>
      </w:r>
    </w:p>
    <w:p>
      <w:pPr>
        <w:pStyle w:val="BodyText"/>
      </w:pPr>
      <w:r>
        <w:rPr>
          <w:bCs/>
          <w:b/>
        </w:rPr>
        <w:t xml:space="preserve">La respuesta</w:t>
      </w:r>
      <w:r>
        <w:t xml:space="preserve">: Aplicamos</w:t>
      </w:r>
      <w:r>
        <w:t xml:space="preserve"> </w:t>
      </w:r>
      <w:r>
        <w:rPr>
          <w:iCs/>
          <w:i/>
          <w:bCs/>
          <w:b/>
        </w:rPr>
        <w:t xml:space="preserve">el método científico</w:t>
      </w:r>
      <w:r>
        <w:t xml:space="preserve"> </w:t>
      </w:r>
      <w:r>
        <w:t xml:space="preserve">para determinar la estructura de la oración. Queremos determinar</w:t>
      </w:r>
      <w:r>
        <w:t xml:space="preserve"> </w:t>
      </w:r>
      <w:r>
        <w:rPr>
          <w:iCs/>
          <w:i/>
          <w:bCs/>
          <w:b/>
        </w:rPr>
        <w:t xml:space="preserve">las reglas, o principios, o las leyes (universales)</w:t>
      </w:r>
      <w:r>
        <w:t xml:space="preserve"> </w:t>
      </w:r>
      <w:r>
        <w:t xml:space="preserve">de la formación de las oraciones.</w:t>
      </w:r>
    </w:p>
    <w:bookmarkEnd w:id="24"/>
    <w:bookmarkEnd w:id="25"/>
    <w:bookmarkStart w:id="27" w:name="el-método-científico"/>
    <w:p>
      <w:pPr>
        <w:pStyle w:val="Heading1"/>
      </w:pPr>
      <w:r>
        <w:t xml:space="preserve">El método científico</w:t>
      </w:r>
    </w:p>
    <w:p>
      <w:pPr>
        <w:pStyle w:val="FirstParagraph"/>
      </w:pPr>
      <w:r>
        <w:t xml:space="preserve">¿Qué es el método científico? ¿Cómo se encuentran las leyes?</w:t>
      </w:r>
    </w:p>
    <w:p>
      <w:pPr>
        <w:pStyle w:val="BodyText"/>
      </w:pPr>
      <w:r>
        <w:t xml:space="preserve">Apunta lo que dice Richard Feynman, un Premio Nobel de la física</w:t>
      </w:r>
    </w:p>
    <w:p>
      <w:pPr>
        <w:pStyle w:val="FirstParagraph"/>
      </w:pPr>
      <w:r>
        <w:rPr>
          <w:bCs/>
          <w:b/>
        </w:rPr>
        <w:t xml:space="preserve">En resumen</w:t>
      </w:r>
      <w:r>
        <w:t xml:space="preserve">: el método científico</w:t>
      </w:r>
      <w:r>
        <w:t xml:space="preserve"> </w:t>
      </w:r>
      <w:r>
        <w:t xml:space="preserve">- Desarrollar alguna hipótesis para explicar un conjunto reducido de datos</w:t>
      </w:r>
      <w:r>
        <w:t xml:space="preserve"> </w:t>
      </w:r>
      <w:r>
        <w:t xml:space="preserve">- Determinar las implicaciones de la hipótesis</w:t>
      </w:r>
      <w:r>
        <w:t xml:space="preserve"> </w:t>
      </w:r>
      <w:r>
        <w:t xml:space="preserve">- Comprobar las implicaciones al considerar más datos y modificar la hipótesis si es necesario</w:t>
      </w:r>
    </w:p>
    <w:bookmarkStart w:id="26" w:name="X7a705ff411c27ee418d85cbf248256a8b009895"/>
    <w:p>
      <w:pPr>
        <w:pStyle w:val="Heading2"/>
      </w:pPr>
      <w:r>
        <w:t xml:space="preserve">Aplicando el método científico – los adjetivos del español</w:t>
      </w:r>
    </w:p>
    <w:p>
      <w:pPr>
        <w:numPr>
          <w:ilvl w:val="0"/>
          <w:numId w:val="1018"/>
        </w:numPr>
        <w:pStyle w:val="Compact"/>
      </w:pPr>
      <w:r>
        <w:t xml:space="preserve">La estructura de una oración tiene que ver con la distribución de los elementos dentro de la oración – es decir, las condiciones que permite que aparece un elemento, dónde puede aparece etc.</w:t>
      </w:r>
    </w:p>
    <w:p>
      <w:pPr>
        <w:pStyle w:val="FirstParagraph"/>
      </w:pPr>
      <w:r>
        <w:rPr>
          <w:bCs/>
          <w:b/>
        </w:rPr>
        <w:t xml:space="preserve">Actividad</w:t>
      </w:r>
      <w:r>
        <w:t xml:space="preserve">: Considera (es decir, observa) la distribución de los adjetivos en español en el conjunto de oraciones en (5). Observa su comportamiento.</w:t>
      </w:r>
    </w:p>
    <w:p>
      <w:pPr>
        <w:numPr>
          <w:ilvl w:val="0"/>
          <w:numId w:val="1019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Una mesa amarilla.</w:t>
      </w:r>
    </w:p>
    <w:p>
      <w:pPr>
        <w:numPr>
          <w:ilvl w:val="1"/>
          <w:numId w:val="1020"/>
        </w:numPr>
        <w:pStyle w:val="Compact"/>
      </w:pPr>
      <w:r>
        <w:t xml:space="preserve">Un vaso bonito.</w:t>
      </w:r>
    </w:p>
    <w:p>
      <w:pPr>
        <w:numPr>
          <w:ilvl w:val="1"/>
          <w:numId w:val="1020"/>
        </w:numPr>
        <w:pStyle w:val="Compact"/>
      </w:pPr>
      <w:r>
        <w:t xml:space="preserve">*Una niña alto.</w:t>
      </w:r>
    </w:p>
    <w:p>
      <w:pPr>
        <w:numPr>
          <w:ilvl w:val="1"/>
          <w:numId w:val="1020"/>
        </w:numPr>
        <w:pStyle w:val="Compact"/>
      </w:pPr>
      <w:r>
        <w:t xml:space="preserve">*El chico simpática.</w:t>
      </w:r>
    </w:p>
    <w:p>
      <w:pPr>
        <w:numPr>
          <w:ilvl w:val="1"/>
          <w:numId w:val="1020"/>
        </w:numPr>
        <w:pStyle w:val="Compact"/>
      </w:pPr>
      <w:r>
        <w:t xml:space="preserve">Una película larga.</w:t>
      </w:r>
    </w:p>
    <w:p>
      <w:pPr>
        <w:numPr>
          <w:ilvl w:val="1"/>
          <w:numId w:val="1020"/>
        </w:numPr>
        <w:pStyle w:val="Compact"/>
      </w:pPr>
      <w:r>
        <w:t xml:space="preserve">*Un libro aburrida.</w:t>
      </w:r>
    </w:p>
    <w:p>
      <w:pPr>
        <w:pStyle w:val="FirstParagraph"/>
      </w:pPr>
      <w:r>
        <w:rPr>
          <w:bCs/>
          <w:b/>
        </w:rPr>
        <w:t xml:space="preserve">Una pregunta</w:t>
      </w:r>
      <w:r>
        <w:t xml:space="preserve">: ¿Qué determina la distribución de los adjetivos? Es decir, ¿Cuándo son</w:t>
      </w:r>
      <w:r>
        <w:t xml:space="preserve"> </w:t>
      </w:r>
      <w:r>
        <w:rPr>
          <w:iCs/>
          <w:i/>
          <w:bCs/>
          <w:b/>
        </w:rPr>
        <w:t xml:space="preserve">gramaticales</w:t>
      </w:r>
      <w:r>
        <w:t xml:space="preserve"> </w:t>
      </w:r>
      <w:r>
        <w:t xml:space="preserve">y cuándo son</w:t>
      </w:r>
      <w:r>
        <w:t xml:space="preserve"> </w:t>
      </w:r>
      <w:r>
        <w:rPr>
          <w:iCs/>
          <w:i/>
          <w:bCs/>
          <w:b/>
        </w:rPr>
        <w:t xml:space="preserve">agramaticales</w:t>
      </w:r>
      <w:r>
        <w:t xml:space="preserve">? Ofrece una hipótesis (o sea,</w:t>
      </w:r>
      <w:r>
        <w:t xml:space="preserve"> </w:t>
      </w:r>
      <w:r>
        <w:t xml:space="preserve">“</w:t>
      </w:r>
      <w:r>
        <w:t xml:space="preserve">guess</w:t>
      </w:r>
      <w:r>
        <w:t xml:space="preserve">”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Una hipótesis</w:t>
      </w:r>
      <w:r>
        <w:t xml:space="preserve">: ??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¿Explica la distribución de los adjetivos en (6) tu hipótesis?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Un chico simpático.</w:t>
      </w:r>
    </w:p>
    <w:p>
      <w:pPr>
        <w:numPr>
          <w:ilvl w:val="1"/>
          <w:numId w:val="1022"/>
        </w:numPr>
        <w:pStyle w:val="Compact"/>
      </w:pPr>
      <w:r>
        <w:t xml:space="preserve">*Unos chicos simpático.</w:t>
      </w:r>
    </w:p>
    <w:p>
      <w:pPr>
        <w:numPr>
          <w:ilvl w:val="1"/>
          <w:numId w:val="1022"/>
        </w:numPr>
        <w:pStyle w:val="Compact"/>
      </w:pPr>
      <w:r>
        <w:t xml:space="preserve">*Una chica preparadas.</w:t>
      </w:r>
    </w:p>
    <w:p>
      <w:pPr>
        <w:numPr>
          <w:ilvl w:val="1"/>
          <w:numId w:val="1022"/>
        </w:numPr>
        <w:pStyle w:val="Compact"/>
      </w:pPr>
      <w:r>
        <w:t xml:space="preserve">Unas chicas preparadas.</w:t>
      </w:r>
    </w:p>
    <w:p>
      <w:pPr>
        <w:numPr>
          <w:ilvl w:val="1"/>
          <w:numId w:val="1022"/>
        </w:numPr>
        <w:pStyle w:val="Compact"/>
      </w:pPr>
      <w:r>
        <w:t xml:space="preserve">*Los libros corto.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*El libro cortos.</w:t>
      </w:r>
    </w:p>
    <w:p>
      <w:pPr>
        <w:pStyle w:val="FirstParagraph"/>
      </w:pPr>
      <w:r>
        <w:rPr>
          <w:bCs/>
          <w:b/>
        </w:rPr>
        <w:t xml:space="preserve">Hipótesis modificada:</w:t>
      </w:r>
    </w:p>
    <w:bookmarkEnd w:id="26"/>
    <w:bookmarkEnd w:id="27"/>
    <w:bookmarkStart w:id="28" w:name="los-rasgos-en-la-sintaxis"/>
    <w:p>
      <w:pPr>
        <w:pStyle w:val="Heading1"/>
      </w:pPr>
      <w:r>
        <w:t xml:space="preserve">Los rasgos en la sintaxis</w:t>
      </w:r>
    </w:p>
    <w:p>
      <w:pPr>
        <w:numPr>
          <w:ilvl w:val="0"/>
          <w:numId w:val="1023"/>
        </w:numPr>
        <w:pStyle w:val="Compact"/>
      </w:pPr>
      <w:r>
        <w:t xml:space="preserve">En el siguiente handout hablaremos de las categorías sintácticas y juegan un papel importante en la sintaxis. Sin embargo, el ejercicio arriba demostrando el método científico aplicado a la sintaxis ya nos demuestra que hay elementos</w:t>
      </w:r>
      <w:r>
        <w:t xml:space="preserve"> </w:t>
      </w:r>
      <w:r>
        <w:t xml:space="preserve">“</w:t>
      </w:r>
      <w:r>
        <w:t xml:space="preserve">más pequeños</w:t>
      </w:r>
      <w:r>
        <w:t xml:space="preserve">”</w:t>
      </w:r>
      <w:r>
        <w:t xml:space="preserve"> </w:t>
      </w:r>
      <w:r>
        <w:t xml:space="preserve">que la categoría sintáctica:</w:t>
      </w:r>
      <w:r>
        <w:t xml:space="preserve"> </w:t>
      </w:r>
      <w:r>
        <w:rPr>
          <w:iCs/>
          <w:i/>
          <w:bCs/>
          <w:b/>
        </w:rPr>
        <w:t xml:space="preserve">los rasgos</w:t>
      </w:r>
      <w:r>
        <w:t xml:space="preserve"> </w:t>
      </w:r>
      <w:r>
        <w:t xml:space="preserve">(</w:t>
      </w:r>
      <w:r>
        <w:t xml:space="preserve">“</w:t>
      </w:r>
      <w:r>
        <w:t xml:space="preserve">features</w:t>
      </w:r>
      <w:r>
        <w:t xml:space="preserve">”</w:t>
      </w:r>
      <w:r>
        <w:t xml:space="preserve">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5">
    <w:nsid w:val="A99435"/>
    <w:multiLevelType w:val="multilevel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3: La introducción a la lingüística generativa</dc:title>
  <dc:creator/>
  <cp:keywords/>
  <dcterms:created xsi:type="dcterms:W3CDTF">2023-08-29T21:48:43Z</dcterms:created>
  <dcterms:modified xsi:type="dcterms:W3CDTF">2023-08-29T21:48:43Z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