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Delgado,</w:t>
      </w:r>
      <w:r>
        <w:t xml:space="preserve"> </w:t>
      </w:r>
      <w:r>
        <w:t xml:space="preserve">FA23</w:t>
      </w:r>
    </w:p>
    <w:p>
      <w:pPr>
        <w:pStyle w:val="Author"/>
      </w:pPr>
      <w:r>
        <w:t xml:space="preserve">T-Th</w:t>
      </w:r>
      <w:r>
        <w:t xml:space="preserve"> </w:t>
      </w:r>
      <w:r>
        <w:t xml:space="preserve">9:30</w:t>
      </w:r>
      <w:r>
        <w:t xml:space="preserve"> </w:t>
      </w:r>
      <w:r>
        <w:t xml:space="preserve">am</w:t>
      </w:r>
      <w:r>
        <w:t xml:space="preserve"> </w:t>
      </w:r>
      <w:r>
        <w:t xml:space="preserve">-</w:t>
      </w:r>
      <w:r>
        <w:t xml:space="preserve"> </w:t>
      </w:r>
      <w:r>
        <w:t xml:space="preserve">10:50</w:t>
      </w:r>
      <w:r>
        <w:t xml:space="preserve"> </w:t>
      </w:r>
      <w:r>
        <w:t xml:space="preserve">am</w:t>
      </w:r>
    </w:p>
    <w:p>
      <w:pPr>
        <w:pStyle w:val="Author"/>
      </w:pPr>
      <w:r>
        <w:t xml:space="preserve">221</w:t>
      </w:r>
      <w:r>
        <w:t xml:space="preserve"> </w:t>
      </w:r>
      <w:r>
        <w:t xml:space="preserve">Gregory</w:t>
      </w:r>
      <w:r>
        <w:t xml:space="preserve"> </w:t>
      </w:r>
      <w:r>
        <w:t xml:space="preserve">Hall</w:t>
      </w:r>
    </w:p>
    <w:p>
      <w:pPr>
        <w:pStyle w:val="FirstParagraph"/>
      </w:pPr>
      <w:r>
        <w:rPr>
          <w:bCs/>
          <w:b/>
        </w:rPr>
        <w:t xml:space="preserve">Professor</w:t>
      </w:r>
      <w:r>
        <w:t xml:space="preserve">: Dr. Rodrigo Delgado</w:t>
      </w:r>
    </w:p>
    <w:p>
      <w:pPr>
        <w:pStyle w:val="BodyText"/>
      </w:pPr>
      <w:r>
        <w:rPr>
          <w:bCs/>
          <w:b/>
        </w:rPr>
        <w:t xml:space="preserve">Office</w:t>
      </w:r>
      <w:r>
        <w:t xml:space="preserve">: 4135 Literatures, Cultures &amp; Linguistics Building (LCLB)</w:t>
      </w:r>
    </w:p>
    <w:p>
      <w:pPr>
        <w:pStyle w:val="BodyText"/>
      </w:pPr>
      <w:r>
        <w:rPr>
          <w:bCs/>
          <w:b/>
        </w:rPr>
        <w:t xml:space="preserve">Office hours</w:t>
      </w:r>
      <w:r>
        <w:t xml:space="preserve">: Wednesdays from 3-4 pm, with appointment only</w:t>
      </w:r>
    </w:p>
    <w:p>
      <w:pPr>
        <w:pStyle w:val="BodyText"/>
      </w:pPr>
      <w:r>
        <w:rPr>
          <w:bCs/>
          <w:b/>
        </w:rPr>
        <w:t xml:space="preserve">email</w:t>
      </w:r>
      <w:r>
        <w:t xml:space="preserve">: rdelga21@illinois.edu</w:t>
      </w:r>
    </w:p>
    <w:bookmarkStart w:id="20" w:name="objectivos-principales-del-curso"/>
    <w:p>
      <w:pPr>
        <w:pStyle w:val="Heading2"/>
      </w:pPr>
      <w:r>
        <w:t xml:space="preserve">Objectivos principales del curso</w:t>
      </w:r>
    </w:p>
    <w:p>
      <w:pPr>
        <w:numPr>
          <w:ilvl w:val="0"/>
          <w:numId w:val="1001"/>
        </w:numPr>
      </w:pPr>
      <w:r>
        <w:t xml:space="preserve">Estudiar las ideas fundamentales de la lingüística generativa.</w:t>
      </w:r>
    </w:p>
    <w:p>
      <w:pPr>
        <w:numPr>
          <w:ilvl w:val="0"/>
          <w:numId w:val="1001"/>
        </w:numPr>
      </w:pPr>
      <w:r>
        <w:t xml:space="preserve">Estudiar en profundidad los elementos básicos de la oración del español, varias construcciones sintácticas, y las reglas básicas que regulan la estructura de la oración.</w:t>
      </w:r>
    </w:p>
    <w:bookmarkEnd w:id="20"/>
    <w:bookmarkStart w:id="21" w:name="materiales-del-curso"/>
    <w:p>
      <w:pPr>
        <w:pStyle w:val="Heading2"/>
      </w:pPr>
      <w:r>
        <w:t xml:space="preserve">Materiales del curso</w:t>
      </w:r>
    </w:p>
    <w:p>
      <w:pPr>
        <w:numPr>
          <w:ilvl w:val="0"/>
          <w:numId w:val="1002"/>
        </w:numPr>
      </w:pPr>
      <w:r>
        <w:t xml:space="preserve">Partes del capítulo 1 y del 4 en *Introducción a la lingüística hispánica (2a edición) editado editado por J.I. Hualde, A. Olarrea, A.M. Escobar, y C.E. Travis, Cambridge: CUP.</w:t>
      </w:r>
    </w:p>
    <w:p>
      <w:pPr>
        <w:numPr>
          <w:ilvl w:val="0"/>
          <w:numId w:val="1002"/>
        </w:numPr>
      </w:pPr>
      <w:r>
        <w:t xml:space="preserve">Los handouts semanales que se repartirán en clase.</w:t>
      </w:r>
    </w:p>
    <w:p>
      <w:pPr>
        <w:numPr>
          <w:ilvl w:val="0"/>
          <w:numId w:val="1002"/>
        </w:numPr>
      </w:pPr>
      <w:r>
        <w:t xml:space="preserve">Lecturas variadas que estarán disponibles en Canvas. Las lecturas estarán guardadas en la carpeta de la semana correspondiente.</w:t>
      </w:r>
    </w:p>
    <w:p>
      <w:pPr>
        <w:pStyle w:val="FirstParagraph"/>
      </w:pPr>
      <w:r>
        <w:t xml:space="preserve">Es muy importante que hagas las lecturas y que asistas a las clases. Las lecturas complementarán y ayudarán a reforzar el material presentado en clase. En clase, habrá varias oportunidades para hacer preguntas, discutir las lecturas y aclarar dudas.</w:t>
      </w:r>
    </w:p>
    <w:bookmarkEnd w:id="21"/>
    <w:bookmarkStart w:id="22" w:name="la-composición-de-la-nota"/>
    <w:p>
      <w:pPr>
        <w:pStyle w:val="Heading2"/>
      </w:pPr>
      <w:r>
        <w:t xml:space="preserve">La composición de la nota:</w:t>
      </w:r>
    </w:p>
    <w:p>
      <w:pPr>
        <w:numPr>
          <w:ilvl w:val="0"/>
          <w:numId w:val="1003"/>
        </w:numPr>
        <w:pStyle w:val="Compact"/>
      </w:pPr>
      <w:r>
        <w:t xml:space="preserve">3 exámenes:</w:t>
      </w:r>
      <w:r>
        <w:t xml:space="preserve"> </w:t>
      </w:r>
      <w:r>
        <w:rPr>
          <w:bCs/>
          <w:b/>
        </w:rPr>
        <w:t xml:space="preserve">40%</w:t>
      </w:r>
    </w:p>
    <w:p>
      <w:pPr>
        <w:numPr>
          <w:ilvl w:val="1"/>
          <w:numId w:val="1004"/>
        </w:numPr>
        <w:pStyle w:val="Compact"/>
      </w:pPr>
      <w:r>
        <w:rPr>
          <w:bCs/>
          <w:b/>
        </w:rPr>
        <w:t xml:space="preserve">Exámen 1</w:t>
      </w:r>
      <w:r>
        <w:t xml:space="preserve">: Octubre 12</w:t>
      </w:r>
    </w:p>
    <w:p>
      <w:pPr>
        <w:numPr>
          <w:ilvl w:val="1"/>
          <w:numId w:val="1004"/>
        </w:numPr>
        <w:pStyle w:val="Compact"/>
      </w:pPr>
      <w:r>
        <w:rPr>
          <w:bCs/>
          <w:b/>
        </w:rPr>
        <w:t xml:space="preserve">Exámen 2</w:t>
      </w:r>
      <w:r>
        <w:t xml:space="preserve">: Noviembre 16</w:t>
      </w:r>
    </w:p>
    <w:p>
      <w:pPr>
        <w:numPr>
          <w:ilvl w:val="1"/>
          <w:numId w:val="1004"/>
        </w:numPr>
        <w:pStyle w:val="Compact"/>
      </w:pPr>
      <w:r>
        <w:rPr>
          <w:bCs/>
          <w:b/>
        </w:rPr>
        <w:t xml:space="preserve">Exámen 3</w:t>
      </w:r>
      <w:r>
        <w:t xml:space="preserve">: Diciembre 8 -</w:t>
      </w:r>
      <w:r>
        <w:t xml:space="preserve"> </w:t>
      </w:r>
      <w:r>
        <w:rPr>
          <w:iCs/>
          <w:i/>
        </w:rPr>
        <w:t xml:space="preserve">viernes 1:30 - 4:30 pm</w:t>
      </w:r>
    </w:p>
    <w:p>
      <w:pPr>
        <w:numPr>
          <w:ilvl w:val="0"/>
          <w:numId w:val="1003"/>
        </w:numPr>
        <w:pStyle w:val="Compact"/>
      </w:pPr>
      <w:r>
        <w:t xml:space="preserve">Ejercicios variados, en clase, en casa, en Moodle:</w:t>
      </w:r>
      <w:r>
        <w:t xml:space="preserve"> </w:t>
      </w:r>
      <w:r>
        <w:rPr>
          <w:bCs/>
          <w:b/>
        </w:rPr>
        <w:t xml:space="preserve">10%</w:t>
      </w:r>
    </w:p>
    <w:p>
      <w:pPr>
        <w:numPr>
          <w:ilvl w:val="1"/>
          <w:numId w:val="1005"/>
        </w:numPr>
        <w:pStyle w:val="Compact"/>
      </w:pPr>
      <w:r>
        <w:t xml:space="preserve">Principalmente de comprensión de las lecturas, de videos y de los handouts.</w:t>
      </w:r>
    </w:p>
    <w:p>
      <w:pPr>
        <w:numPr>
          <w:ilvl w:val="0"/>
          <w:numId w:val="1003"/>
        </w:numPr>
        <w:pStyle w:val="Compact"/>
      </w:pPr>
      <w:r>
        <w:t xml:space="preserve">Asistencia y participación:</w:t>
      </w:r>
      <w:r>
        <w:t xml:space="preserve"> </w:t>
      </w:r>
      <w:r>
        <w:rPr>
          <w:bCs/>
          <w:b/>
        </w:rPr>
        <w:t xml:space="preserve">10%</w:t>
      </w:r>
    </w:p>
    <w:p>
      <w:pPr>
        <w:numPr>
          <w:ilvl w:val="0"/>
          <w:numId w:val="1003"/>
        </w:numPr>
        <w:pStyle w:val="Compact"/>
      </w:pPr>
      <w:r>
        <w:t xml:space="preserve">2 ensayos (20% cada uno):</w:t>
      </w:r>
      <w:r>
        <w:t xml:space="preserve"> </w:t>
      </w:r>
      <w:r>
        <w:rPr>
          <w:bCs/>
          <w:b/>
        </w:rPr>
        <w:t xml:space="preserve">40%</w:t>
      </w:r>
    </w:p>
    <w:p>
      <w:pPr>
        <w:numPr>
          <w:ilvl w:val="1"/>
          <w:numId w:val="1006"/>
        </w:numPr>
        <w:pStyle w:val="Compact"/>
      </w:pPr>
      <w:r>
        <w:t xml:space="preserve">Cada uno será de entre</w:t>
      </w:r>
      <w:r>
        <w:t xml:space="preserve"> </w:t>
      </w:r>
      <w:r>
        <w:rPr>
          <w:bCs/>
          <w:b/>
        </w:rPr>
        <w:t xml:space="preserve">6 a 10 páginas a doble espacio, y subidos a Canvas</w:t>
      </w:r>
      <w:r>
        <w:t xml:space="preserve">, no entregados a mano.</w:t>
      </w:r>
    </w:p>
    <w:p>
      <w:pPr>
        <w:numPr>
          <w:ilvl w:val="1"/>
          <w:numId w:val="1006"/>
        </w:numPr>
        <w:pStyle w:val="Compact"/>
      </w:pPr>
      <w:r>
        <w:t xml:space="preserve">Después de que ponga comentarios en la primera versión de tu ensayo, quedaré con cada uno individualmente para aclarar dudas etc. durante la clase. Mientras esperan para reunirse conmigo, tendrán ejercicios que hacer. Esto es obligatorio para recibir todo el crédito.</w:t>
      </w:r>
    </w:p>
    <w:p>
      <w:pPr>
        <w:pStyle w:val="FirstParagraph"/>
      </w:pPr>
      <w:r>
        <w:rPr>
          <w:bCs/>
          <w:b/>
        </w:rPr>
        <w:t xml:space="preserve">Ensayo 1</w:t>
      </w:r>
      <w:r>
        <w:t xml:space="preserve">: Las ideas fundamentales de la lingüística generativa.</w:t>
      </w:r>
    </w:p>
    <w:p>
      <w:pPr>
        <w:numPr>
          <w:ilvl w:val="0"/>
          <w:numId w:val="1007"/>
        </w:numPr>
      </w:pPr>
      <w:r>
        <w:t xml:space="preserve">Este escrito es, en parte, un resumen de los argumentos fundamentales para concluir que los seres humanos estamos genéticamente programados para tener el Lenguaje. Por otra parte, habla de la pregunta de si los animales, o otras especies, pueden tener el Lenguaje humano también, una implicación de la idea de que los seres humanos estamos programados para tenerlo.</w:t>
      </w:r>
    </w:p>
    <w:p>
      <w:pPr>
        <w:numPr>
          <w:ilvl w:val="1"/>
          <w:numId w:val="1008"/>
        </w:numPr>
        <w:pStyle w:val="Compact"/>
      </w:pPr>
      <w:r>
        <w:rPr>
          <w:bCs/>
          <w:b/>
        </w:rPr>
        <w:t xml:space="preserve">Primera versión:</w:t>
      </w:r>
      <w:r>
        <w:t xml:space="preserve"> </w:t>
      </w:r>
      <w:r>
        <w:t xml:space="preserve">Sept 14</w:t>
      </w:r>
    </w:p>
    <w:p>
      <w:pPr>
        <w:numPr>
          <w:ilvl w:val="1"/>
          <w:numId w:val="1008"/>
        </w:numPr>
        <w:pStyle w:val="Compact"/>
      </w:pPr>
      <w:r>
        <w:rPr>
          <w:bCs/>
          <w:b/>
        </w:rPr>
        <w:t xml:space="preserve">Segunda (y última versión):</w:t>
      </w:r>
      <w:r>
        <w:t xml:space="preserve"> </w:t>
      </w:r>
      <w:r>
        <w:t xml:space="preserve">Oct 5</w:t>
      </w:r>
    </w:p>
    <w:p>
      <w:pPr>
        <w:pStyle w:val="FirstParagraph"/>
      </w:pPr>
      <w:r>
        <w:rPr>
          <w:bCs/>
          <w:b/>
        </w:rPr>
        <w:t xml:space="preserve">Ensayo 2</w:t>
      </w:r>
      <w:r>
        <w:t xml:space="preserve">: ¿Existen los pronombres nulos en español?</w:t>
      </w:r>
    </w:p>
    <w:p>
      <w:pPr>
        <w:numPr>
          <w:ilvl w:val="0"/>
          <w:numId w:val="1009"/>
        </w:numPr>
      </w:pPr>
      <w:r>
        <w:t xml:space="preserve">Este escrito se centra en los pronombres nulos (los sujetos no pronunciados) y si existen o no en la sintaxis. Este escrito es un ejercicio de analizar datos, crear hipótesis y llegar a conclusiones que tienen implicaciones para la sintaxis.</w:t>
      </w:r>
    </w:p>
    <w:p>
      <w:pPr>
        <w:numPr>
          <w:ilvl w:val="1"/>
          <w:numId w:val="1010"/>
        </w:numPr>
        <w:pStyle w:val="Compact"/>
      </w:pPr>
      <w:r>
        <w:rPr>
          <w:bCs/>
          <w:b/>
        </w:rPr>
        <w:t xml:space="preserve">Primera versión:</w:t>
      </w:r>
      <w:r>
        <w:t xml:space="preserve"> </w:t>
      </w:r>
      <w:r>
        <w:t xml:space="preserve">Noviembre 9</w:t>
      </w:r>
    </w:p>
    <w:p>
      <w:pPr>
        <w:numPr>
          <w:ilvl w:val="1"/>
          <w:numId w:val="1010"/>
        </w:numPr>
        <w:pStyle w:val="Compact"/>
      </w:pPr>
      <w:r>
        <w:rPr>
          <w:bCs/>
          <w:b/>
        </w:rPr>
        <w:t xml:space="preserve">Segunda (y última versión):</w:t>
      </w:r>
      <w:r>
        <w:t xml:space="preserve"> </w:t>
      </w:r>
      <w:r>
        <w:t xml:space="preserve">Dic 5</w:t>
      </w:r>
    </w:p>
    <w:p>
      <w:pPr>
        <w:pStyle w:val="FirstParagraph"/>
      </w:pPr>
      <w:r>
        <w:rPr>
          <w:bCs/>
          <w:b/>
        </w:rPr>
        <w:t xml:space="preserve">Life happens clause</w:t>
      </w:r>
      <w:r>
        <w:t xml:space="preserve"> </w:t>
      </w:r>
      <w:r>
        <w:t xml:space="preserve">- You can invoke the clause on one deadline and get a 3-day extension. No explanation required. To use it, please email me stating that you are invoking the clause and the name of the assignment. Tests and in-class writing workshops are excluded.</w:t>
      </w:r>
    </w:p>
    <w:bookmarkEnd w:id="22"/>
    <w:bookmarkStart w:id="23" w:name="programa-del-curso"/>
    <w:p>
      <w:pPr>
        <w:pStyle w:val="Heading2"/>
      </w:pPr>
      <w:r>
        <w:t xml:space="preserve">Programa del curso:</w:t>
      </w:r>
    </w:p>
    <w:p>
      <w:pPr>
        <w:numPr>
          <w:ilvl w:val="0"/>
          <w:numId w:val="1011"/>
        </w:numPr>
        <w:pStyle w:val="Compact"/>
      </w:pPr>
      <w:r>
        <w:t xml:space="preserve">Quiero mantenerme flexible en cuanto al programa del curso para poder adaptarlo a las necesidades de la clase. Por lo tanto, el siguiente programa está sujeto a cambios, aunque sirve de guía para el curso.</w:t>
      </w:r>
    </w:p>
    <w:tbl>
      <w:tblPr>
        <w:tblStyle w:val="Table"/>
        <w:tblW w:type="pct" w:w="5000"/>
        <w:tblLook w:firstRow="1" w:lastRow="0" w:firstColumn="0" w:lastColumn="0" w:noHBand="0" w:noVBand="0" w:val="0020"/>
        <w:jc w:val="start"/>
      </w:tblPr>
      <w:tblGrid>
        <w:gridCol w:w="2066"/>
        <w:gridCol w:w="1549"/>
        <w:gridCol w:w="2410"/>
        <w:gridCol w:w="1893"/>
      </w:tblGrid>
      <w:tr>
        <w:trPr>
          <w:tblHeader w:val="true"/>
        </w:trPr>
        <w:tc>
          <w:tcPr/>
          <w:p>
            <w:pPr>
              <w:pStyle w:val="Compact"/>
              <w:jc w:val="left"/>
            </w:pPr>
            <w:r>
              <w:rPr>
                <w:bCs/>
                <w:b/>
              </w:rPr>
              <w:t xml:space="preserve">Semana</w:t>
            </w:r>
          </w:p>
        </w:tc>
        <w:tc>
          <w:tcPr/>
          <w:p>
            <w:pPr>
              <w:pStyle w:val="Compact"/>
              <w:jc w:val="left"/>
            </w:pPr>
            <w:r>
              <w:rPr>
                <w:bCs/>
                <w:b/>
              </w:rPr>
              <w:t xml:space="preserve">Martes</w:t>
            </w:r>
          </w:p>
        </w:tc>
        <w:tc>
          <w:tcPr/>
          <w:p>
            <w:pPr>
              <w:pStyle w:val="Compact"/>
              <w:jc w:val="left"/>
            </w:pPr>
            <w:r>
              <w:rPr>
                <w:bCs/>
                <w:b/>
              </w:rPr>
              <w:t xml:space="preserve">Jueves</w:t>
            </w:r>
          </w:p>
        </w:tc>
        <w:tc>
          <w:tcPr/>
          <w:p>
            <w:pPr>
              <w:pStyle w:val="Compact"/>
              <w:jc w:val="left"/>
            </w:pPr>
            <w:r>
              <w:rPr>
                <w:bCs/>
                <w:b/>
              </w:rPr>
              <w:t xml:space="preserve">Los Temas</w:t>
            </w:r>
          </w:p>
        </w:tc>
      </w:tr>
      <w:tr>
        <w:tc>
          <w:tcPr/>
          <w:p>
            <w:pPr>
              <w:pStyle w:val="Compact"/>
              <w:jc w:val="left"/>
            </w:pPr>
            <w:r>
              <w:t xml:space="preserve">Semana 1</w:t>
            </w:r>
          </w:p>
        </w:tc>
        <w:tc>
          <w:tcPr/>
          <w:p>
            <w:pPr>
              <w:pStyle w:val="Compact"/>
              <w:jc w:val="left"/>
            </w:pPr>
            <w:r>
              <w:t xml:space="preserve">Agosto 22</w:t>
            </w:r>
          </w:p>
        </w:tc>
        <w:tc>
          <w:tcPr/>
          <w:p>
            <w:pPr>
              <w:pStyle w:val="Compact"/>
              <w:jc w:val="left"/>
            </w:pPr>
            <w:r>
              <w:t xml:space="preserve">24</w:t>
            </w:r>
          </w:p>
        </w:tc>
        <w:tc>
          <w:tcPr/>
          <w:p>
            <w:pPr>
              <w:pStyle w:val="Compact"/>
              <w:jc w:val="left"/>
            </w:pPr>
            <w:r>
              <w:t xml:space="preserve">Handout 1 - Introducción histórica; la adquisición</w:t>
            </w:r>
          </w:p>
        </w:tc>
      </w:tr>
      <w:tr>
        <w:tc>
          <w:tcPr/>
          <w:p>
            <w:pPr>
              <w:pStyle w:val="Compact"/>
              <w:jc w:val="left"/>
            </w:pPr>
            <w:r>
              <w:t xml:space="preserve">Semana 2</w:t>
            </w:r>
          </w:p>
        </w:tc>
        <w:tc>
          <w:tcPr/>
          <w:p>
            <w:pPr>
              <w:pStyle w:val="Compact"/>
              <w:jc w:val="left"/>
            </w:pPr>
            <w:r>
              <w:t xml:space="preserve">29</w:t>
            </w:r>
          </w:p>
        </w:tc>
        <w:tc>
          <w:tcPr/>
          <w:p>
            <w:pPr>
              <w:pStyle w:val="Compact"/>
              <w:jc w:val="left"/>
            </w:pPr>
            <w:r>
              <w:t xml:space="preserve">31</w:t>
            </w:r>
          </w:p>
        </w:tc>
        <w:tc>
          <w:tcPr/>
          <w:p>
            <w:pPr>
              <w:pStyle w:val="Compact"/>
              <w:jc w:val="left"/>
            </w:pPr>
            <w:r>
              <w:t xml:space="preserve">Handout 1 - La lengua como parte de nuestros genes; la linguística generativa; la lengua como parte innata; aprendizaje vs. adquisición</w:t>
            </w:r>
          </w:p>
        </w:tc>
      </w:tr>
      <w:tr>
        <w:tc>
          <w:tcPr/>
          <w:p>
            <w:pPr>
              <w:pStyle w:val="Compact"/>
              <w:jc w:val="left"/>
            </w:pPr>
            <w:r>
              <w:t xml:space="preserve">Semana 3</w:t>
            </w:r>
          </w:p>
        </w:tc>
        <w:tc>
          <w:tcPr/>
          <w:p>
            <w:pPr>
              <w:pStyle w:val="Compact"/>
              <w:jc w:val="left"/>
            </w:pPr>
            <w:r>
              <w:t xml:space="preserve">Sept 5</w:t>
            </w:r>
          </w:p>
        </w:tc>
        <w:tc>
          <w:tcPr/>
          <w:p>
            <w:pPr>
              <w:pStyle w:val="Compact"/>
              <w:jc w:val="left"/>
            </w:pPr>
            <w:r>
              <w:t xml:space="preserve">7</w:t>
            </w:r>
          </w:p>
        </w:tc>
        <w:tc>
          <w:tcPr/>
          <w:p>
            <w:pPr>
              <w:pStyle w:val="Compact"/>
              <w:jc w:val="left"/>
            </w:pPr>
            <w:r>
              <w:t xml:space="preserve">Handout 2 - El objeto de estudio; las fuentes de datos; el método científico; los rasgos en la sintaxis</w:t>
            </w:r>
          </w:p>
        </w:tc>
      </w:tr>
      <w:tr>
        <w:tc>
          <w:tcPr/>
          <w:p>
            <w:pPr>
              <w:pStyle w:val="Compact"/>
              <w:jc w:val="left"/>
            </w:pPr>
            <w:r>
              <w:t xml:space="preserve">Semana 4</w:t>
            </w:r>
          </w:p>
        </w:tc>
        <w:tc>
          <w:tcPr/>
          <w:p>
            <w:pPr>
              <w:pStyle w:val="Compact"/>
              <w:jc w:val="left"/>
            </w:pPr>
            <w:r>
              <w:t xml:space="preserve">12</w:t>
            </w:r>
          </w:p>
        </w:tc>
        <w:tc>
          <w:tcPr/>
          <w:p>
            <w:pPr>
              <w:pStyle w:val="Compact"/>
              <w:jc w:val="left"/>
            </w:pPr>
            <w:r>
              <w:t xml:space="preserve">14 -</w:t>
            </w:r>
            <w:r>
              <w:t xml:space="preserve"> </w:t>
            </w:r>
            <w:r>
              <w:rPr>
                <w:bCs/>
                <w:b/>
              </w:rPr>
              <w:t xml:space="preserve">Ensayo 1, Primera versión</w:t>
            </w:r>
          </w:p>
        </w:tc>
        <w:tc>
          <w:tcPr/>
          <w:p>
            <w:pPr>
              <w:pStyle w:val="Compact"/>
              <w:jc w:val="left"/>
            </w:pPr>
            <w:r>
              <w:t xml:space="preserve">Handout 3 - las categorias sintácticas (o las partes de la oración)</w:t>
            </w:r>
          </w:p>
        </w:tc>
      </w:tr>
      <w:tr>
        <w:tc>
          <w:tcPr/>
          <w:p>
            <w:pPr>
              <w:pStyle w:val="Compact"/>
              <w:jc w:val="left"/>
            </w:pPr>
            <w:r>
              <w:t xml:space="preserve">Semana 5</w:t>
            </w:r>
          </w:p>
        </w:tc>
        <w:tc>
          <w:tcPr/>
          <w:p>
            <w:pPr>
              <w:pStyle w:val="Compact"/>
              <w:jc w:val="left"/>
            </w:pPr>
            <w:r>
              <w:t xml:space="preserve">19</w:t>
            </w:r>
          </w:p>
        </w:tc>
        <w:tc>
          <w:tcPr/>
          <w:p>
            <w:pPr>
              <w:pStyle w:val="Compact"/>
              <w:jc w:val="left"/>
            </w:pPr>
            <w:r>
              <w:t xml:space="preserve">21</w:t>
            </w:r>
          </w:p>
        </w:tc>
        <w:tc>
          <w:tcPr/>
          <w:p>
            <w:pPr>
              <w:pStyle w:val="Compact"/>
              <w:jc w:val="left"/>
            </w:pPr>
            <w:r>
              <w:t xml:space="preserve">Handout 4 - Introducción a los sintagmas (phrases); Handout 5 - más sintagmas</w:t>
            </w:r>
          </w:p>
        </w:tc>
      </w:tr>
      <w:tr>
        <w:tc>
          <w:tcPr/>
          <w:p>
            <w:pPr>
              <w:pStyle w:val="Compact"/>
              <w:jc w:val="left"/>
            </w:pPr>
            <w:r>
              <w:t xml:space="preserve">Semana 6</w:t>
            </w:r>
          </w:p>
        </w:tc>
        <w:tc>
          <w:tcPr/>
          <w:p>
            <w:pPr>
              <w:pStyle w:val="Compact"/>
              <w:jc w:val="left"/>
            </w:pPr>
            <w:r>
              <w:t xml:space="preserve">26 -</w:t>
            </w:r>
            <w:r>
              <w:t xml:space="preserve"> </w:t>
            </w:r>
            <w:r>
              <w:rPr>
                <w:bCs/>
                <w:b/>
              </w:rPr>
              <w:t xml:space="preserve">Citas individuales</w:t>
            </w:r>
          </w:p>
        </w:tc>
        <w:tc>
          <w:tcPr/>
          <w:p>
            <w:pPr>
              <w:pStyle w:val="Compact"/>
              <w:jc w:val="left"/>
            </w:pPr>
            <w:r>
              <w:t xml:space="preserve">28 -</w:t>
            </w:r>
            <w:r>
              <w:t xml:space="preserve"> </w:t>
            </w:r>
            <w:r>
              <w:rPr>
                <w:bCs/>
                <w:b/>
              </w:rPr>
              <w:t xml:space="preserve">Citas individuales</w:t>
            </w:r>
          </w:p>
        </w:tc>
        <w:tc>
          <w:tcPr/>
          <w:p>
            <w:pPr>
              <w:pStyle w:val="Compact"/>
              <w:jc w:val="left"/>
            </w:pPr>
            <w:r>
              <w:t xml:space="preserve">Writing workshop</w:t>
            </w:r>
          </w:p>
        </w:tc>
      </w:tr>
      <w:tr>
        <w:tc>
          <w:tcPr/>
          <w:p>
            <w:pPr>
              <w:pStyle w:val="Compact"/>
              <w:jc w:val="left"/>
            </w:pPr>
            <w:r>
              <w:t xml:space="preserve">Semana 7</w:t>
            </w:r>
          </w:p>
        </w:tc>
        <w:tc>
          <w:tcPr/>
          <w:p>
            <w:pPr>
              <w:pStyle w:val="Compact"/>
              <w:jc w:val="left"/>
            </w:pPr>
            <w:r>
              <w:t xml:space="preserve">Oct 3</w:t>
            </w:r>
          </w:p>
        </w:tc>
        <w:tc>
          <w:tcPr/>
          <w:p>
            <w:pPr>
              <w:pStyle w:val="Compact"/>
              <w:jc w:val="left"/>
            </w:pPr>
            <w:r>
              <w:t xml:space="preserve">5 -</w:t>
            </w:r>
            <w:r>
              <w:t xml:space="preserve"> </w:t>
            </w:r>
            <w:r>
              <w:rPr>
                <w:bCs/>
                <w:b/>
              </w:rPr>
              <w:t xml:space="preserve">Ensayo 1, Segunda versión</w:t>
            </w:r>
          </w:p>
        </w:tc>
        <w:tc>
          <w:tcPr/>
          <w:p>
            <w:pPr>
              <w:pStyle w:val="Compact"/>
              <w:jc w:val="left"/>
            </w:pPr>
            <w:r>
              <w:t xml:space="preserve">Handout 6 - aún más sintagmas (tiempo y complementante); la elipsis</w:t>
            </w:r>
          </w:p>
        </w:tc>
      </w:tr>
      <w:tr>
        <w:tc>
          <w:tcPr/>
          <w:p>
            <w:pPr>
              <w:pStyle w:val="Compact"/>
              <w:jc w:val="left"/>
            </w:pPr>
            <w:r>
              <w:t xml:space="preserve">Semana 8</w:t>
            </w:r>
          </w:p>
        </w:tc>
        <w:tc>
          <w:tcPr/>
          <w:p>
            <w:pPr>
              <w:pStyle w:val="Compact"/>
              <w:jc w:val="left"/>
            </w:pPr>
            <w:r>
              <w:t xml:space="preserve">10 -</w:t>
            </w:r>
            <w:r>
              <w:t xml:space="preserve"> </w:t>
            </w:r>
            <w:r>
              <w:rPr>
                <w:bCs/>
                <w:b/>
              </w:rPr>
              <w:t xml:space="preserve">Repaso Examen 1</w:t>
            </w:r>
          </w:p>
        </w:tc>
        <w:tc>
          <w:tcPr/>
          <w:p>
            <w:pPr>
              <w:pStyle w:val="Compact"/>
              <w:jc w:val="left"/>
            </w:pPr>
            <w:r>
              <w:t xml:space="preserve">12 -</w:t>
            </w:r>
            <w:r>
              <w:t xml:space="preserve"> </w:t>
            </w:r>
            <w:r>
              <w:rPr>
                <w:bCs/>
                <w:b/>
              </w:rPr>
              <w:t xml:space="preserve">Examen 1</w:t>
            </w:r>
          </w:p>
        </w:tc>
        <w:tc>
          <w:tcPr/>
          <w:p>
            <w:pPr>
              <w:pStyle w:val="Compact"/>
            </w:pPr>
          </w:p>
        </w:tc>
      </w:tr>
      <w:tr>
        <w:tc>
          <w:tcPr/>
          <w:p>
            <w:pPr>
              <w:pStyle w:val="Compact"/>
              <w:jc w:val="left"/>
            </w:pPr>
            <w:r>
              <w:t xml:space="preserve">Semana 9</w:t>
            </w:r>
          </w:p>
        </w:tc>
        <w:tc>
          <w:tcPr/>
          <w:p>
            <w:pPr>
              <w:pStyle w:val="Compact"/>
              <w:jc w:val="left"/>
            </w:pPr>
            <w:r>
              <w:t xml:space="preserve">17</w:t>
            </w:r>
          </w:p>
        </w:tc>
        <w:tc>
          <w:tcPr/>
          <w:p>
            <w:pPr>
              <w:pStyle w:val="Compact"/>
              <w:jc w:val="left"/>
            </w:pPr>
            <w:r>
              <w:t xml:space="preserve">19</w:t>
            </w:r>
          </w:p>
        </w:tc>
        <w:tc>
          <w:tcPr/>
          <w:p>
            <w:pPr>
              <w:pStyle w:val="Compact"/>
              <w:jc w:val="left"/>
            </w:pPr>
            <w:r>
              <w:t xml:space="preserve">Handout 7 - la referencia, los determinantes, y los pronombres; Handout 8 - los pronombres reflexivos del español y las reglas estructurales</w:t>
            </w:r>
          </w:p>
        </w:tc>
      </w:tr>
      <w:tr>
        <w:tc>
          <w:tcPr/>
          <w:p>
            <w:pPr>
              <w:pStyle w:val="Compact"/>
              <w:jc w:val="left"/>
            </w:pPr>
            <w:r>
              <w:t xml:space="preserve">Semana 10</w:t>
            </w:r>
          </w:p>
        </w:tc>
        <w:tc>
          <w:tcPr/>
          <w:p>
            <w:pPr>
              <w:pStyle w:val="Compact"/>
              <w:jc w:val="left"/>
            </w:pPr>
            <w:r>
              <w:t xml:space="preserve">24</w:t>
            </w:r>
          </w:p>
        </w:tc>
        <w:tc>
          <w:tcPr/>
          <w:p>
            <w:pPr>
              <w:pStyle w:val="Compact"/>
              <w:jc w:val="left"/>
            </w:pPr>
            <w:r>
              <w:t xml:space="preserve">26</w:t>
            </w:r>
          </w:p>
        </w:tc>
        <w:tc>
          <w:tcPr/>
          <w:p>
            <w:pPr>
              <w:pStyle w:val="Compact"/>
              <w:jc w:val="left"/>
            </w:pPr>
            <w:r>
              <w:t xml:space="preserve">Handout 9 - la estructura argumental: los argumentos vs. los adjuntos</w:t>
            </w:r>
          </w:p>
        </w:tc>
      </w:tr>
      <w:tr>
        <w:tc>
          <w:tcPr/>
          <w:p>
            <w:pPr>
              <w:pStyle w:val="Compact"/>
              <w:jc w:val="left"/>
            </w:pPr>
            <w:r>
              <w:t xml:space="preserve">Semana 11</w:t>
            </w:r>
          </w:p>
        </w:tc>
        <w:tc>
          <w:tcPr/>
          <w:p>
            <w:pPr>
              <w:pStyle w:val="Compact"/>
              <w:jc w:val="left"/>
            </w:pPr>
            <w:r>
              <w:t xml:space="preserve">31</w:t>
            </w:r>
          </w:p>
        </w:tc>
        <w:tc>
          <w:tcPr/>
          <w:p>
            <w:pPr>
              <w:pStyle w:val="Compact"/>
              <w:jc w:val="left"/>
            </w:pPr>
            <w:r>
              <w:t xml:space="preserve">Nov 2</w:t>
            </w:r>
          </w:p>
        </w:tc>
        <w:tc>
          <w:tcPr/>
          <w:p>
            <w:pPr>
              <w:pStyle w:val="Compact"/>
              <w:jc w:val="left"/>
            </w:pPr>
            <w:r>
              <w:t xml:space="preserve">Handout 10 - la teoría de X’</w:t>
            </w:r>
          </w:p>
        </w:tc>
      </w:tr>
      <w:tr>
        <w:tc>
          <w:tcPr/>
          <w:p>
            <w:pPr>
              <w:pStyle w:val="Compact"/>
              <w:jc w:val="left"/>
            </w:pPr>
            <w:r>
              <w:t xml:space="preserve">Semana 12</w:t>
            </w:r>
          </w:p>
        </w:tc>
        <w:tc>
          <w:tcPr/>
          <w:p>
            <w:pPr>
              <w:pStyle w:val="Compact"/>
              <w:jc w:val="left"/>
            </w:pPr>
            <w:r>
              <w:t xml:space="preserve">7</w:t>
            </w:r>
          </w:p>
        </w:tc>
        <w:tc>
          <w:tcPr/>
          <w:p>
            <w:pPr>
              <w:pStyle w:val="Compact"/>
              <w:jc w:val="left"/>
            </w:pPr>
            <w:r>
              <w:t xml:space="preserve">9 -</w:t>
            </w:r>
            <w:r>
              <w:t xml:space="preserve"> </w:t>
            </w:r>
            <w:r>
              <w:rPr>
                <w:bCs/>
                <w:b/>
              </w:rPr>
              <w:t xml:space="preserve">Ensayo, Primera versión</w:t>
            </w:r>
          </w:p>
        </w:tc>
        <w:tc>
          <w:tcPr/>
          <w:p>
            <w:pPr>
              <w:pStyle w:val="Compact"/>
              <w:jc w:val="left"/>
            </w:pPr>
            <w:r>
              <w:t xml:space="preserve">Handout 11 - Explicando parte de la variación; Handout 12 - El movimiento de V a T y de T a C</w:t>
            </w:r>
          </w:p>
        </w:tc>
      </w:tr>
      <w:tr>
        <w:tc>
          <w:tcPr/>
          <w:p>
            <w:pPr>
              <w:pStyle w:val="Compact"/>
              <w:jc w:val="left"/>
            </w:pPr>
            <w:r>
              <w:t xml:space="preserve">Semana 13</w:t>
            </w:r>
          </w:p>
        </w:tc>
        <w:tc>
          <w:tcPr/>
          <w:p>
            <w:pPr>
              <w:pStyle w:val="Compact"/>
              <w:jc w:val="left"/>
            </w:pPr>
            <w:r>
              <w:t xml:space="preserve">14 -</w:t>
            </w:r>
            <w:r>
              <w:t xml:space="preserve"> </w:t>
            </w:r>
            <w:r>
              <w:rPr>
                <w:bCs/>
                <w:b/>
              </w:rPr>
              <w:t xml:space="preserve">Repaso Examen 2</w:t>
            </w:r>
          </w:p>
        </w:tc>
        <w:tc>
          <w:tcPr/>
          <w:p>
            <w:pPr>
              <w:pStyle w:val="Compact"/>
              <w:jc w:val="left"/>
            </w:pPr>
            <w:r>
              <w:t xml:space="preserve">16 -</w:t>
            </w:r>
            <w:r>
              <w:t xml:space="preserve"> </w:t>
            </w:r>
            <w:r>
              <w:rPr>
                <w:bCs/>
                <w:b/>
              </w:rPr>
              <w:t xml:space="preserve">Examen 2</w:t>
            </w:r>
          </w:p>
        </w:tc>
        <w:tc>
          <w:tcPr/>
          <w:p>
            <w:pPr>
              <w:pStyle w:val="Compact"/>
            </w:pPr>
          </w:p>
        </w:tc>
      </w:tr>
      <w:tr>
        <w:tc>
          <w:tcPr/>
          <w:p>
            <w:pPr>
              <w:pStyle w:val="Compact"/>
              <w:jc w:val="left"/>
            </w:pPr>
            <w:r>
              <w:t xml:space="preserve">Semana 14</w:t>
            </w:r>
          </w:p>
        </w:tc>
        <w:tc>
          <w:tcPr/>
          <w:p>
            <w:pPr>
              <w:pStyle w:val="Compact"/>
              <w:jc w:val="left"/>
            </w:pPr>
            <w:r>
              <w:t xml:space="preserve">21 -</w:t>
            </w:r>
            <w:r>
              <w:t xml:space="preserve"> </w:t>
            </w:r>
            <w:r>
              <w:rPr>
                <w:iCs/>
                <w:i/>
              </w:rPr>
              <w:t xml:space="preserve">Fall break</w:t>
            </w:r>
          </w:p>
        </w:tc>
        <w:tc>
          <w:tcPr/>
          <w:p>
            <w:pPr>
              <w:pStyle w:val="Compact"/>
              <w:jc w:val="left"/>
            </w:pPr>
            <w:r>
              <w:t xml:space="preserve">23 -</w:t>
            </w:r>
            <w:r>
              <w:t xml:space="preserve"> </w:t>
            </w:r>
            <w:r>
              <w:rPr>
                <w:iCs/>
                <w:i/>
              </w:rPr>
              <w:t xml:space="preserve">Fall break</w:t>
            </w:r>
          </w:p>
        </w:tc>
        <w:tc>
          <w:tcPr/>
          <w:p>
            <w:pPr>
              <w:pStyle w:val="Compact"/>
            </w:pPr>
          </w:p>
        </w:tc>
      </w:tr>
      <w:tr>
        <w:tc>
          <w:tcPr/>
          <w:p>
            <w:pPr>
              <w:pStyle w:val="Compact"/>
              <w:jc w:val="left"/>
            </w:pPr>
            <w:r>
              <w:t xml:space="preserve">Semana 15</w:t>
            </w:r>
          </w:p>
        </w:tc>
        <w:tc>
          <w:tcPr/>
          <w:p>
            <w:pPr>
              <w:pStyle w:val="Compact"/>
              <w:jc w:val="left"/>
            </w:pPr>
            <w:r>
              <w:t xml:space="preserve">28</w:t>
            </w:r>
            <w:r>
              <w:t xml:space="preserve"> </w:t>
            </w:r>
            <w:r>
              <w:rPr>
                <w:bCs/>
                <w:b/>
              </w:rPr>
              <w:t xml:space="preserve">Citas individuales</w:t>
            </w:r>
          </w:p>
        </w:tc>
        <w:tc>
          <w:tcPr/>
          <w:p>
            <w:pPr>
              <w:pStyle w:val="Compact"/>
              <w:jc w:val="left"/>
            </w:pPr>
            <w:r>
              <w:t xml:space="preserve">30 -</w:t>
            </w:r>
            <w:r>
              <w:t xml:space="preserve"> </w:t>
            </w:r>
            <w:r>
              <w:rPr>
                <w:bCs/>
                <w:b/>
              </w:rPr>
              <w:t xml:space="preserve">Citas individuales</w:t>
            </w:r>
          </w:p>
        </w:tc>
        <w:tc>
          <w:tcPr/>
          <w:p>
            <w:pPr>
              <w:pStyle w:val="Compact"/>
            </w:pPr>
          </w:p>
        </w:tc>
      </w:tr>
      <w:tr>
        <w:tc>
          <w:tcPr/>
          <w:p>
            <w:pPr>
              <w:pStyle w:val="Compact"/>
              <w:jc w:val="left"/>
            </w:pPr>
            <w:r>
              <w:t xml:space="preserve">Semana 16</w:t>
            </w:r>
          </w:p>
        </w:tc>
        <w:tc>
          <w:tcPr/>
          <w:p>
            <w:pPr>
              <w:pStyle w:val="Compact"/>
              <w:jc w:val="left"/>
            </w:pPr>
            <w:r>
              <w:t xml:space="preserve">Dic 5 -</w:t>
            </w:r>
            <w:r>
              <w:t xml:space="preserve"> </w:t>
            </w:r>
            <w:r>
              <w:rPr>
                <w:bCs/>
                <w:b/>
              </w:rPr>
              <w:t xml:space="preserve">Ensayo, Segunda versión</w:t>
            </w:r>
          </w:p>
        </w:tc>
        <w:tc>
          <w:tcPr/>
          <w:p>
            <w:pPr>
              <w:pStyle w:val="Compact"/>
              <w:jc w:val="left"/>
            </w:pPr>
            <w:r>
              <w:t xml:space="preserve">8 -</w:t>
            </w:r>
            <w:r>
              <w:t xml:space="preserve"> </w:t>
            </w:r>
            <w:r>
              <w:rPr>
                <w:bCs/>
                <w:b/>
              </w:rPr>
              <w:t xml:space="preserve">Examen Final 1:30-4:30 pm</w:t>
            </w:r>
          </w:p>
        </w:tc>
        <w:tc>
          <w:tcPr/>
          <w:p>
            <w:pPr>
              <w:pStyle w:val="Compact"/>
              <w:jc w:val="left"/>
            </w:pPr>
            <w:r>
              <w:t xml:space="preserve">Handout 12 - El movimiento de V a T y de T a C</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3f5f6"/>
    </w:pPr>
  </w:style>
  <w:style w:type="character" w:customStyle="1" w:styleId="KeywordTok">
    <w:name w:val="KeywordTok"/>
    <w:basedOn w:val="VerbatimChar"/>
    <w:rPr>
      <w:color w:val="007020"/>
      <w:shd w:val="clear" w:fill="f3f5f6"/>
      <w:b/>
    </w:rPr>
  </w:style>
  <w:style w:type="character" w:customStyle="1" w:styleId="DataTypeTok">
    <w:name w:val="DataTypeTok"/>
    <w:basedOn w:val="VerbatimChar"/>
    <w:rPr>
      <w:color w:val="902000"/>
      <w:shd w:val="clear" w:fill="f3f5f6"/>
    </w:rPr>
  </w:style>
  <w:style w:type="character" w:customStyle="1" w:styleId="DecValTok">
    <w:name w:val="DecValTok"/>
    <w:basedOn w:val="VerbatimChar"/>
    <w:rPr>
      <w:color w:val="40a070"/>
      <w:shd w:val="clear" w:fill="f3f5f6"/>
    </w:rPr>
  </w:style>
  <w:style w:type="character" w:customStyle="1" w:styleId="BaseNTok">
    <w:name w:val="BaseNTok"/>
    <w:basedOn w:val="VerbatimChar"/>
    <w:rPr>
      <w:color w:val="40a070"/>
      <w:shd w:val="clear" w:fill="f3f5f6"/>
    </w:rPr>
  </w:style>
  <w:style w:type="character" w:customStyle="1" w:styleId="FloatTok">
    <w:name w:val="FloatTok"/>
    <w:basedOn w:val="VerbatimChar"/>
    <w:rPr>
      <w:color w:val="40a070"/>
      <w:shd w:val="clear" w:fill="f3f5f6"/>
    </w:rPr>
  </w:style>
  <w:style w:type="character" w:customStyle="1" w:styleId="ConstantTok">
    <w:name w:val="ConstantTok"/>
    <w:basedOn w:val="VerbatimChar"/>
    <w:rPr>
      <w:color w:val="880000"/>
      <w:shd w:val="clear" w:fill="f3f5f6"/>
    </w:rPr>
  </w:style>
  <w:style w:type="character" w:customStyle="1" w:styleId="CharTok">
    <w:name w:val="CharTok"/>
    <w:basedOn w:val="VerbatimChar"/>
    <w:rPr>
      <w:color w:val="4070a0"/>
      <w:shd w:val="clear" w:fill="f3f5f6"/>
    </w:rPr>
  </w:style>
  <w:style w:type="character" w:customStyle="1" w:styleId="SpecialCharTok">
    <w:name w:val="SpecialCharTok"/>
    <w:basedOn w:val="VerbatimChar"/>
    <w:rPr>
      <w:color w:val="4070a0"/>
      <w:shd w:val="clear" w:fill="f3f5f6"/>
    </w:rPr>
  </w:style>
  <w:style w:type="character" w:customStyle="1" w:styleId="StringTok">
    <w:name w:val="StringTok"/>
    <w:basedOn w:val="VerbatimChar"/>
    <w:rPr>
      <w:color w:val="4070a0"/>
      <w:shd w:val="clear" w:fill="f3f5f6"/>
    </w:rPr>
  </w:style>
  <w:style w:type="character" w:customStyle="1" w:styleId="VerbatimStringTok">
    <w:name w:val="VerbatimStringTok"/>
    <w:basedOn w:val="VerbatimChar"/>
    <w:rPr>
      <w:color w:val="4070a0"/>
      <w:shd w:val="clear" w:fill="f3f5f6"/>
    </w:rPr>
  </w:style>
  <w:style w:type="character" w:customStyle="1" w:styleId="SpecialStringTok">
    <w:name w:val="SpecialStringTok"/>
    <w:basedOn w:val="VerbatimChar"/>
    <w:rPr>
      <w:color w:val="bb6688"/>
      <w:shd w:val="clear" w:fill="f3f5f6"/>
    </w:rPr>
  </w:style>
  <w:style w:type="character" w:customStyle="1" w:styleId="ImportTok">
    <w:name w:val="ImportTok"/>
    <w:basedOn w:val="VerbatimChar"/>
    <w:rPr>
      <w:color w:val="008000"/>
      <w:shd w:val="clear" w:fill="f3f5f6"/>
      <w:b/>
    </w:rPr>
  </w:style>
  <w:style w:type="character" w:customStyle="1" w:styleId="CommentTok">
    <w:name w:val="CommentTok"/>
    <w:basedOn w:val="VerbatimChar"/>
    <w:rPr>
      <w:color w:val="60a0b0"/>
      <w:shd w:val="clear" w:fill="f3f5f6"/>
      <w:i/>
    </w:rPr>
  </w:style>
  <w:style w:type="character" w:customStyle="1" w:styleId="DocumentationTok">
    <w:name w:val="DocumentationTok"/>
    <w:basedOn w:val="VerbatimChar"/>
    <w:rPr>
      <w:color w:val="ba2121"/>
      <w:shd w:val="clear" w:fill="f3f5f6"/>
      <w:i/>
    </w:rPr>
  </w:style>
  <w:style w:type="character" w:customStyle="1" w:styleId="AnnotationTok">
    <w:name w:val="AnnotationTok"/>
    <w:basedOn w:val="VerbatimChar"/>
    <w:rPr>
      <w:color w:val="60a0b0"/>
      <w:shd w:val="clear" w:fill="f3f5f6"/>
      <w:b/>
      <w:i/>
    </w:rPr>
  </w:style>
  <w:style w:type="character" w:customStyle="1" w:styleId="CommentVarTok">
    <w:name w:val="CommentVarTok"/>
    <w:basedOn w:val="VerbatimChar"/>
    <w:rPr>
      <w:color w:val="60a0b0"/>
      <w:shd w:val="clear" w:fill="f3f5f6"/>
      <w:b/>
      <w:i/>
    </w:rPr>
  </w:style>
  <w:style w:type="character" w:customStyle="1" w:styleId="OtherTok">
    <w:name w:val="OtherTok"/>
    <w:basedOn w:val="VerbatimChar"/>
    <w:rPr>
      <w:color w:val="007020"/>
      <w:shd w:val="clear" w:fill="f3f5f6"/>
    </w:rPr>
  </w:style>
  <w:style w:type="character" w:customStyle="1" w:styleId="FunctionTok">
    <w:name w:val="FunctionTok"/>
    <w:basedOn w:val="VerbatimChar"/>
    <w:rPr>
      <w:color w:val="06287e"/>
      <w:shd w:val="clear" w:fill="f3f5f6"/>
    </w:rPr>
  </w:style>
  <w:style w:type="character" w:customStyle="1" w:styleId="VariableTok">
    <w:name w:val="VariableTok"/>
    <w:basedOn w:val="VerbatimChar"/>
    <w:rPr>
      <w:color w:val="19177c"/>
      <w:shd w:val="clear" w:fill="f3f5f6"/>
    </w:rPr>
  </w:style>
  <w:style w:type="character" w:customStyle="1" w:styleId="ControlFlowTok">
    <w:name w:val="ControlFlowTok"/>
    <w:basedOn w:val="VerbatimChar"/>
    <w:rPr>
      <w:color w:val="007020"/>
      <w:shd w:val="clear" w:fill="f3f5f6"/>
      <w:b/>
    </w:rPr>
  </w:style>
  <w:style w:type="character" w:customStyle="1" w:styleId="OperatorTok">
    <w:name w:val="OperatorTok"/>
    <w:basedOn w:val="VerbatimChar"/>
    <w:rPr>
      <w:color w:val="666666"/>
      <w:shd w:val="clear" w:fill="f3f5f6"/>
    </w:rPr>
  </w:style>
  <w:style w:type="character" w:customStyle="1" w:styleId="BuiltInTok">
    <w:name w:val="BuiltInTok"/>
    <w:basedOn w:val="VerbatimChar"/>
    <w:rPr>
      <w:color w:val="008000"/>
      <w:shd w:val="clear" w:fill="f3f5f6"/>
    </w:rPr>
  </w:style>
  <w:style w:type="character" w:customStyle="1" w:styleId="ExtensionTok">
    <w:name w:val="ExtensionTok"/>
    <w:basedOn w:val="VerbatimChar"/>
    <w:rPr>
      <w:color w:val="007020"/>
      <w:shd w:val="clear" w:fill="f3f5f6"/>
    </w:rPr>
  </w:style>
  <w:style w:type="character" w:customStyle="1" w:styleId="PreprocessorTok">
    <w:name w:val="PreprocessorTok"/>
    <w:basedOn w:val="VerbatimChar"/>
    <w:rPr>
      <w:color w:val="bc7a00"/>
      <w:shd w:val="clear" w:fill="f3f5f6"/>
    </w:rPr>
  </w:style>
  <w:style w:type="character" w:customStyle="1" w:styleId="AttributeTok">
    <w:name w:val="AttributeTok"/>
    <w:basedOn w:val="VerbatimChar"/>
    <w:rPr>
      <w:color w:val="7d9029"/>
      <w:shd w:val="clear" w:fill="f3f5f6"/>
    </w:rPr>
  </w:style>
  <w:style w:type="character" w:customStyle="1" w:styleId="RegionMarkerTok">
    <w:name w:val="RegionMarkerTok"/>
    <w:basedOn w:val="VerbatimChar"/>
    <w:rPr>
      <w:color w:val="007020"/>
      <w:shd w:val="clear" w:fill="f3f5f6"/>
    </w:rPr>
  </w:style>
  <w:style w:type="character" w:customStyle="1" w:styleId="InformationTok">
    <w:name w:val="InformationTok"/>
    <w:basedOn w:val="VerbatimChar"/>
    <w:rPr>
      <w:color w:val="60a0b0"/>
      <w:shd w:val="clear" w:fill="f3f5f6"/>
      <w:b/>
      <w:i/>
    </w:rPr>
  </w:style>
  <w:style w:type="character" w:customStyle="1" w:styleId="WarningTok">
    <w:name w:val="WarningTok"/>
    <w:basedOn w:val="VerbatimChar"/>
    <w:rPr>
      <w:color w:val="60a0b0"/>
      <w:shd w:val="clear" w:fill="f3f5f6"/>
      <w:b/>
      <w:i/>
    </w:rPr>
  </w:style>
  <w:style w:type="character" w:customStyle="1" w:styleId="AlertTok">
    <w:name w:val="AlertTok"/>
    <w:basedOn w:val="VerbatimChar"/>
    <w:rPr>
      <w:color w:val="ff0000"/>
      <w:shd w:val="clear" w:fill="f3f5f6"/>
      <w:b/>
    </w:rPr>
  </w:style>
  <w:style w:type="character" w:customStyle="1" w:styleId="ErrorTok">
    <w:name w:val="ErrorTok"/>
    <w:basedOn w:val="VerbatimChar"/>
    <w:rPr>
      <w:color w:val="ff0000"/>
      <w:shd w:val="clear" w:fill="f3f5f6"/>
      <w:b/>
    </w:rPr>
  </w:style>
  <w:style w:type="character" w:customStyle="1" w:styleId="NormalTok">
    <w:name w:val="NormalTok"/>
    <w:basedOn w:val="VerbatimChar"/>
    <w:rPr>
      <w:color w:val="007020"/>
      <w:shd w:val="clear" w:fill="f3f5f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Delgado, FA23; T-Th 9:30 am - 10:50 am; 221 Gregory Hall</dc:creator>
  <cp:keywords/>
  <dcterms:created xsi:type="dcterms:W3CDTF">2023-08-29T17:19:02Z</dcterms:created>
  <dcterms:modified xsi:type="dcterms:W3CDTF">2023-08-29T17:19:02Z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