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</w:t>
      </w:r>
    </w:p>
    <w:p>
      <w:pPr>
        <w:pStyle w:val="Author"/>
      </w:pPr>
      <w:r>
        <w:t xml:space="preserve">Delgado,</w:t>
      </w:r>
      <w:r>
        <w:t xml:space="preserve"> </w:t>
      </w:r>
      <w:r>
        <w:t xml:space="preserve">FA24</w:t>
      </w:r>
    </w:p>
    <w:p>
      <w:pPr>
        <w:pStyle w:val="Author"/>
      </w:pPr>
      <w:r>
        <w:t xml:space="preserve">TR</w:t>
      </w:r>
      <w:r>
        <w:t xml:space="preserve"> </w:t>
      </w:r>
      <w:r>
        <w:t xml:space="preserve">12:30</w:t>
      </w:r>
      <w:r>
        <w:t xml:space="preserve"> </w:t>
      </w:r>
      <w:r>
        <w:t xml:space="preserve">pm</w:t>
      </w:r>
      <w:r>
        <w:t xml:space="preserve"> </w:t>
      </w:r>
      <w:r>
        <w:t xml:space="preserve">-</w:t>
      </w:r>
      <w:r>
        <w:t xml:space="preserve"> </w:t>
      </w:r>
      <w:r>
        <w:t xml:space="preserve">1:50</w:t>
      </w:r>
      <w:r>
        <w:t xml:space="preserve"> </w:t>
      </w:r>
      <w:r>
        <w:t xml:space="preserve">pm</w:t>
      </w:r>
    </w:p>
    <w:p>
      <w:pPr>
        <w:pStyle w:val="Author"/>
      </w:pPr>
      <w:r>
        <w:t xml:space="preserve">316N</w:t>
      </w:r>
      <w:r>
        <w:t xml:space="preserve"> </w:t>
      </w:r>
      <w:r>
        <w:t xml:space="preserve">Mumford</w:t>
      </w:r>
      <w:r>
        <w:t xml:space="preserve"> </w:t>
      </w:r>
      <w:r>
        <w:t xml:space="preserve">Hall</w:t>
      </w:r>
    </w:p>
    <w:p>
      <w:pPr>
        <w:pStyle w:val="FirstParagraph"/>
      </w:pPr>
      <w:r>
        <w:rPr>
          <w:bCs/>
          <w:b/>
        </w:rPr>
        <w:t xml:space="preserve">Professor</w:t>
      </w:r>
      <w:r>
        <w:t xml:space="preserve">: Dr. Rodrigo Delgado</w:t>
      </w:r>
    </w:p>
    <w:p>
      <w:pPr>
        <w:pStyle w:val="BodyText"/>
      </w:pPr>
      <w:r>
        <w:rPr>
          <w:bCs/>
          <w:b/>
        </w:rPr>
        <w:t xml:space="preserve">Office</w:t>
      </w:r>
      <w:r>
        <w:t xml:space="preserve">: 4135 Literatures, Cultures &amp; Linguistics Building (LCLB)</w:t>
      </w:r>
    </w:p>
    <w:p>
      <w:pPr>
        <w:pStyle w:val="BodyText"/>
      </w:pPr>
      <w:r>
        <w:rPr>
          <w:bCs/>
          <w:b/>
        </w:rPr>
        <w:t xml:space="preserve">Office hours</w:t>
      </w:r>
      <w:r>
        <w:t xml:space="preserve">: By appointment only</w:t>
      </w:r>
    </w:p>
    <w:p>
      <w:pPr>
        <w:pStyle w:val="BodyText"/>
      </w:pPr>
      <w:r>
        <w:rPr>
          <w:bCs/>
          <w:b/>
        </w:rPr>
        <w:t xml:space="preserve">email</w:t>
      </w:r>
      <w:r>
        <w:t xml:space="preserve">: rdelga21@illinois.edu</w:t>
      </w:r>
    </w:p>
    <w:bookmarkStart w:id="20" w:name="objectivos-principales-del-curso"/>
    <w:p>
      <w:pPr>
        <w:pStyle w:val="Heading2"/>
      </w:pPr>
      <w:r>
        <w:t xml:space="preserve">Objectivos principales del curso</w:t>
      </w:r>
    </w:p>
    <w:p>
      <w:pPr>
        <w:numPr>
          <w:ilvl w:val="0"/>
          <w:numId w:val="1001"/>
        </w:numPr>
      </w:pPr>
      <w:r>
        <w:t xml:space="preserve">Introducir los fenómenos morfológicos del español, principalmente desde una perspectiva formal.</w:t>
      </w:r>
    </w:p>
    <w:p>
      <w:pPr>
        <w:numPr>
          <w:ilvl w:val="0"/>
          <w:numId w:val="1001"/>
        </w:numPr>
      </w:pPr>
      <w:r>
        <w:t xml:space="preserve">Introducir las teorías de la morfología.</w:t>
      </w:r>
    </w:p>
    <w:p>
      <w:pPr>
        <w:numPr>
          <w:ilvl w:val="0"/>
          <w:numId w:val="1001"/>
        </w:numPr>
      </w:pPr>
      <w:r>
        <w:t xml:space="preserve">Explorar estudios de otras areas que se relacionan con la morfología.</w:t>
      </w:r>
    </w:p>
    <w:bookmarkEnd w:id="20"/>
    <w:bookmarkStart w:id="21" w:name="materiales-del-curso"/>
    <w:p>
      <w:pPr>
        <w:pStyle w:val="Heading2"/>
      </w:pPr>
      <w:r>
        <w:t xml:space="preserve">Materiales del curso</w:t>
      </w:r>
    </w:p>
    <w:p>
      <w:pPr>
        <w:numPr>
          <w:ilvl w:val="0"/>
          <w:numId w:val="1002"/>
        </w:numPr>
      </w:pPr>
      <w:r>
        <w:t xml:space="preserve">Los PPT que se usaran en clase.</w:t>
      </w:r>
    </w:p>
    <w:p>
      <w:pPr>
        <w:numPr>
          <w:ilvl w:val="0"/>
          <w:numId w:val="1002"/>
        </w:numPr>
      </w:pPr>
      <w:r>
        <w:t xml:space="preserve">Las lecturas estarán disponibles en la página.</w:t>
      </w:r>
    </w:p>
    <w:bookmarkEnd w:id="21"/>
    <w:bookmarkStart w:id="22" w:name="la-composición-de-la-nota"/>
    <w:p>
      <w:pPr>
        <w:pStyle w:val="Heading2"/>
      </w:pPr>
      <w:r>
        <w:t xml:space="preserve">La composición de la nota:</w:t>
      </w:r>
    </w:p>
    <w:p>
      <w:pPr>
        <w:numPr>
          <w:ilvl w:val="0"/>
          <w:numId w:val="1003"/>
        </w:numPr>
        <w:pStyle w:val="Compact"/>
      </w:pPr>
      <w:r>
        <w:t xml:space="preserve">Tarea (6):</w:t>
      </w:r>
      <w:r>
        <w:t xml:space="preserve"> </w:t>
      </w:r>
      <w:r>
        <w:rPr>
          <w:bCs/>
          <w:b/>
        </w:rPr>
        <w:t xml:space="preserve">30%</w:t>
      </w:r>
    </w:p>
    <w:p>
      <w:pPr>
        <w:numPr>
          <w:ilvl w:val="0"/>
          <w:numId w:val="1004"/>
        </w:numPr>
        <w:pStyle w:val="Compact"/>
      </w:pPr>
      <w:r>
        <w:t xml:space="preserve">Estas tareas se entregarán en Canvas</w:t>
      </w:r>
    </w:p>
    <w:p>
      <w:pPr>
        <w:numPr>
          <w:ilvl w:val="0"/>
          <w:numId w:val="1004"/>
        </w:numPr>
        <w:pStyle w:val="Compact"/>
      </w:pPr>
      <w:r>
        <w:t xml:space="preserve">Cada dos semanas</w:t>
      </w:r>
    </w:p>
    <w:p>
      <w:pPr>
        <w:numPr>
          <w:ilvl w:val="0"/>
          <w:numId w:val="1005"/>
        </w:numPr>
        <w:pStyle w:val="Compact"/>
      </w:pPr>
      <w:r>
        <w:t xml:space="preserve">Presentación de uno o dos artículos</w:t>
      </w:r>
    </w:p>
    <w:p>
      <w:pPr>
        <w:numPr>
          <w:ilvl w:val="0"/>
          <w:numId w:val="1006"/>
        </w:numPr>
        <w:pStyle w:val="Compact"/>
      </w:pPr>
      <w:r>
        <w:t xml:space="preserve">La presentación incluirá una síntesis del estudio (fenómeno lingüístico, hipótesis, metodología de análisis y conclusión) con anotaciones críticas y dos preguntas finales de reflexión. Tendrán 1 hora para la presentación.</w:t>
      </w:r>
    </w:p>
    <w:p>
      <w:pPr>
        <w:numPr>
          <w:ilvl w:val="0"/>
          <w:numId w:val="1007"/>
        </w:numPr>
        <w:pStyle w:val="Compact"/>
      </w:pPr>
      <w:r>
        <w:t xml:space="preserve">Investigación final:</w:t>
      </w:r>
      <w:r>
        <w:t xml:space="preserve"> </w:t>
      </w:r>
      <w:r>
        <w:rPr>
          <w:bCs/>
          <w:b/>
        </w:rPr>
        <w:t xml:space="preserve">40%</w:t>
      </w:r>
    </w:p>
    <w:p>
      <w:pPr>
        <w:numPr>
          <w:ilvl w:val="0"/>
          <w:numId w:val="1008"/>
        </w:numPr>
        <w:pStyle w:val="Compact"/>
      </w:pPr>
      <w:r>
        <w:t xml:space="preserve">Sobre un fenomeno morfológico del español.</w:t>
      </w:r>
    </w:p>
    <w:p>
      <w:pPr>
        <w:numPr>
          <w:ilvl w:val="0"/>
          <w:numId w:val="1008"/>
        </w:numPr>
        <w:pStyle w:val="Compact"/>
      </w:pPr>
      <w:r>
        <w:t xml:space="preserve">Incluye:</w:t>
      </w:r>
    </w:p>
    <w:p>
      <w:pPr>
        <w:numPr>
          <w:ilvl w:val="1"/>
          <w:numId w:val="1009"/>
        </w:numPr>
        <w:pStyle w:val="Compact"/>
      </w:pPr>
      <w:r>
        <w:t xml:space="preserve">Abstract del trabajo de 2 páginas (5%)</w:t>
      </w:r>
    </w:p>
    <w:p>
      <w:pPr>
        <w:numPr>
          <w:ilvl w:val="1"/>
          <w:numId w:val="1009"/>
        </w:numPr>
        <w:pStyle w:val="Compact"/>
      </w:pPr>
      <w:r>
        <w:t xml:space="preserve">Análisis crítico de un artículo del trabajo final (10%)</w:t>
      </w:r>
    </w:p>
    <w:p>
      <w:pPr>
        <w:numPr>
          <w:ilvl w:val="2"/>
          <w:numId w:val="1010"/>
        </w:numPr>
        <w:pStyle w:val="Compact"/>
      </w:pPr>
      <w:r>
        <w:t xml:space="preserve">El artículo escogido debe ser aprovado por el profesor</w:t>
      </w:r>
    </w:p>
    <w:p>
      <w:pPr>
        <w:numPr>
          <w:ilvl w:val="1"/>
          <w:numId w:val="1009"/>
        </w:numPr>
        <w:pStyle w:val="Compact"/>
      </w:pPr>
      <w:r>
        <w:t xml:space="preserve">Presentación del trabajo final (10%)</w:t>
      </w:r>
    </w:p>
    <w:p>
      <w:pPr>
        <w:numPr>
          <w:ilvl w:val="1"/>
          <w:numId w:val="1009"/>
        </w:numPr>
        <w:pStyle w:val="Compact"/>
      </w:pPr>
      <w:r>
        <w:t xml:space="preserve">El paper final de ±15 páginas, doble espacio (15%)</w:t>
      </w:r>
    </w:p>
    <w:p>
      <w:pPr>
        <w:numPr>
          <w:ilvl w:val="0"/>
          <w:numId w:val="1011"/>
        </w:numPr>
      </w:pPr>
      <w:r>
        <w:t xml:space="preserve">Asistencia:</w:t>
      </w:r>
      <w:r>
        <w:t xml:space="preserve"> </w:t>
      </w:r>
      <w:r>
        <w:rPr>
          <w:bCs/>
          <w:b/>
        </w:rPr>
        <w:t xml:space="preserve">5%</w:t>
      </w:r>
    </w:p>
    <w:p>
      <w:pPr>
        <w:numPr>
          <w:ilvl w:val="0"/>
          <w:numId w:val="1011"/>
        </w:numPr>
      </w:pPr>
      <w:r>
        <w:t xml:space="preserve">Participación:</w:t>
      </w:r>
      <w:r>
        <w:t xml:space="preserve"> </w:t>
      </w:r>
      <w:r>
        <w:rPr>
          <w:bCs/>
          <w:b/>
        </w:rPr>
        <w:t xml:space="preserve">5%</w:t>
      </w:r>
    </w:p>
    <w:p>
      <w:pPr>
        <w:pStyle w:val="FirstParagraph"/>
      </w:pPr>
      <w:r>
        <w:rPr>
          <w:bCs/>
          <w:b/>
        </w:rPr>
        <w:t xml:space="preserve">Life happens clause</w:t>
      </w:r>
      <w:r>
        <w:t xml:space="preserve"> </w:t>
      </w:r>
      <w:r>
        <w:t xml:space="preserve">- You can invoke the clause on one deadline and get a 3-day extension. No explanation required. To use it, please email me stating that you want the extension and the name of the assignment.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Delgado, FA24; TR 12:30 pm - 1:50 pm; 316N Mumford Hall</dc:creator>
  <cp:keywords/>
  <dcterms:created xsi:type="dcterms:W3CDTF">2024-09-19T20:24:43Z</dcterms:created>
  <dcterms:modified xsi:type="dcterms:W3CDTF">2024-09-19T20:24:43Z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