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Syllabus</w:t>
      </w:r>
      <w:r>
        <w:t xml:space="preserve"> </w:t>
      </w:r>
      <w:r>
        <w:t xml:space="preserve">-</w:t>
      </w:r>
      <w:r>
        <w:t xml:space="preserve"> </w:t>
      </w:r>
      <w:r>
        <w:t xml:space="preserve">SPAN</w:t>
      </w:r>
      <w:r>
        <w:t xml:space="preserve"> </w:t>
      </w:r>
      <w:r>
        <w:t xml:space="preserve">305:The</w:t>
      </w:r>
      <w:r>
        <w:t xml:space="preserve"> </w:t>
      </w:r>
      <w:r>
        <w:t xml:space="preserve">structure</w:t>
      </w:r>
      <w:r>
        <w:t xml:space="preserve"> </w:t>
      </w:r>
      <w:r>
        <w:t xml:space="preserve">of</w:t>
      </w:r>
      <w:r>
        <w:t xml:space="preserve"> </w:t>
      </w:r>
      <w:r>
        <w:t xml:space="preserve">Spanish</w:t>
      </w:r>
    </w:p>
    <w:p>
      <w:pPr>
        <w:pStyle w:val="Author"/>
      </w:pPr>
      <w:r>
        <w:t xml:space="preserve">Delgado,</w:t>
      </w:r>
      <w:r>
        <w:t xml:space="preserve"> </w:t>
      </w:r>
      <w:r>
        <w:t xml:space="preserve">FA24</w:t>
      </w:r>
    </w:p>
    <w:p>
      <w:pPr>
        <w:pStyle w:val="Author"/>
      </w:pPr>
      <w:r>
        <w:t xml:space="preserve">TR</w:t>
      </w:r>
      <w:r>
        <w:t xml:space="preserve"> </w:t>
      </w:r>
      <w:r>
        <w:t xml:space="preserve">9:30</w:t>
      </w:r>
      <w:r>
        <w:t xml:space="preserve"> </w:t>
      </w:r>
      <w:r>
        <w:t xml:space="preserve">am</w:t>
      </w:r>
      <w:r>
        <w:t xml:space="preserve"> </w:t>
      </w:r>
      <w:r>
        <w:t xml:space="preserve">-</w:t>
      </w:r>
      <w:r>
        <w:t xml:space="preserve"> </w:t>
      </w:r>
      <w:r>
        <w:t xml:space="preserve">10:50</w:t>
      </w:r>
      <w:r>
        <w:t xml:space="preserve"> </w:t>
      </w:r>
      <w:r>
        <w:t xml:space="preserve">pm</w:t>
      </w:r>
    </w:p>
    <w:p>
      <w:pPr>
        <w:pStyle w:val="Author"/>
      </w:pPr>
      <w:r>
        <w:t xml:space="preserve">336</w:t>
      </w:r>
      <w:r>
        <w:t xml:space="preserve"> </w:t>
      </w:r>
      <w:r>
        <w:t xml:space="preserve">Davenport</w:t>
      </w:r>
      <w:r>
        <w:t xml:space="preserve"> </w:t>
      </w:r>
      <w:r>
        <w:t xml:space="preserve">Hall</w:t>
      </w:r>
    </w:p>
    <w:p>
      <w:pPr>
        <w:pStyle w:val="FirstParagraph"/>
      </w:pPr>
      <w:r>
        <w:rPr>
          <w:bCs/>
          <w:b/>
        </w:rPr>
        <w:t xml:space="preserve">Professor</w:t>
      </w:r>
      <w:r>
        <w:t xml:space="preserve">: Dr. Rodrigo Delgado</w:t>
      </w:r>
    </w:p>
    <w:p>
      <w:pPr>
        <w:pStyle w:val="BodyText"/>
      </w:pPr>
      <w:r>
        <w:rPr>
          <w:bCs/>
          <w:b/>
        </w:rPr>
        <w:t xml:space="preserve">Office</w:t>
      </w:r>
      <w:r>
        <w:t xml:space="preserve">: 4135 Literatures, Cultures &amp; Linguistics Building (LCLB)</w:t>
      </w:r>
    </w:p>
    <w:p>
      <w:pPr>
        <w:pStyle w:val="BodyText"/>
      </w:pPr>
      <w:r>
        <w:rPr>
          <w:bCs/>
          <w:b/>
        </w:rPr>
        <w:t xml:space="preserve">Office hours</w:t>
      </w:r>
      <w:r>
        <w:t xml:space="preserve">: By appointment only</w:t>
      </w:r>
    </w:p>
    <w:p>
      <w:pPr>
        <w:pStyle w:val="BodyText"/>
      </w:pPr>
      <w:r>
        <w:rPr>
          <w:bCs/>
          <w:b/>
        </w:rPr>
        <w:t xml:space="preserve">email</w:t>
      </w:r>
      <w:r>
        <w:t xml:space="preserve">: rdelga21@illinois.edu</w:t>
      </w:r>
    </w:p>
    <w:bookmarkStart w:id="20" w:name="objectivos-principales-del-curso"/>
    <w:p>
      <w:pPr>
        <w:pStyle w:val="Heading2"/>
      </w:pPr>
      <w:r>
        <w:t xml:space="preserve">Objectivos principales del curso</w:t>
      </w:r>
    </w:p>
    <w:p>
      <w:pPr>
        <w:numPr>
          <w:ilvl w:val="0"/>
          <w:numId w:val="1001"/>
        </w:numPr>
      </w:pPr>
      <w:r>
        <w:t xml:space="preserve">Estudiar las ideas fundamentales de la lingüística generativa.</w:t>
      </w:r>
    </w:p>
    <w:p>
      <w:pPr>
        <w:numPr>
          <w:ilvl w:val="0"/>
          <w:numId w:val="1001"/>
        </w:numPr>
      </w:pPr>
      <w:r>
        <w:t xml:space="preserve">Estudiar en profundidad los elementos básicos de la oración del español, varias construcciones sintácticas, y las reglas básicas que regulan la estructura de la oración.</w:t>
      </w:r>
    </w:p>
    <w:bookmarkEnd w:id="20"/>
    <w:bookmarkStart w:id="21" w:name="materiales-del-curso"/>
    <w:p>
      <w:pPr>
        <w:pStyle w:val="Heading2"/>
      </w:pPr>
      <w:r>
        <w:t xml:space="preserve">Materiales del curso</w:t>
      </w:r>
    </w:p>
    <w:p>
      <w:pPr>
        <w:numPr>
          <w:ilvl w:val="0"/>
          <w:numId w:val="1002"/>
        </w:numPr>
      </w:pPr>
      <w:r>
        <w:t xml:space="preserve">Partes del capítulo 1 y del 4 en</w:t>
      </w:r>
      <w:r>
        <w:t xml:space="preserve"> </w:t>
      </w:r>
      <w:r>
        <w:rPr>
          <w:bCs/>
          <w:b/>
        </w:rPr>
        <w:t xml:space="preserve">Introducción a la lingüística hispánica (2a edición) editado editado por J.I. Hualde, A. Olarrea, A.M. Escobar, y C.E. Travis, Cambridge: CUP.</w:t>
      </w:r>
    </w:p>
    <w:p>
      <w:pPr>
        <w:numPr>
          <w:ilvl w:val="0"/>
          <w:numId w:val="1002"/>
        </w:numPr>
      </w:pPr>
      <w:r>
        <w:t xml:space="preserve">Los PPT que se usaran en clase.</w:t>
      </w:r>
    </w:p>
    <w:p>
      <w:pPr>
        <w:numPr>
          <w:ilvl w:val="0"/>
          <w:numId w:val="1002"/>
        </w:numPr>
      </w:pPr>
      <w:r>
        <w:t xml:space="preserve">Lecturas variadas que estarán disponibles en Canvas. Las lecturas estarán guardadas en la carpeta de la semana correspondiente.</w:t>
      </w:r>
    </w:p>
    <w:p>
      <w:pPr>
        <w:pStyle w:val="FirstParagraph"/>
      </w:pPr>
      <w:r>
        <w:t xml:space="preserve">Es muy importante que hagas las lecturas y que asistas a las clases. Las lecturas complementarán y ayudarán a reforzar el material presentado en clase. En clase, habrá varias oportunidades para hacer preguntas, discutir las lecturas y aclarar dudas.</w:t>
      </w:r>
    </w:p>
    <w:bookmarkEnd w:id="21"/>
    <w:bookmarkStart w:id="22" w:name="la-composición-de-la-nota"/>
    <w:p>
      <w:pPr>
        <w:pStyle w:val="Heading2"/>
      </w:pPr>
      <w:r>
        <w:t xml:space="preserve">La composición de la nota:</w:t>
      </w:r>
    </w:p>
    <w:p>
      <w:pPr>
        <w:numPr>
          <w:ilvl w:val="0"/>
          <w:numId w:val="1003"/>
        </w:numPr>
        <w:pStyle w:val="Compact"/>
      </w:pPr>
      <w:r>
        <w:t xml:space="preserve">4 exámenes:</w:t>
      </w:r>
      <w:r>
        <w:t xml:space="preserve"> </w:t>
      </w:r>
      <w:r>
        <w:rPr>
          <w:bCs/>
          <w:b/>
        </w:rPr>
        <w:t xml:space="preserve">50%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Examen 1</w:t>
      </w:r>
      <w:r>
        <w:t xml:space="preserve">: TBA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Examen 2</w:t>
      </w:r>
      <w:r>
        <w:t xml:space="preserve">: TBA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Examen 3</w:t>
      </w:r>
      <w:r>
        <w:t xml:space="preserve">: TBA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Examen 4</w:t>
      </w:r>
      <w:r>
        <w:t xml:space="preserve">: TBA</w:t>
      </w:r>
    </w:p>
    <w:p>
      <w:pPr>
        <w:numPr>
          <w:ilvl w:val="0"/>
          <w:numId w:val="1003"/>
        </w:numPr>
        <w:pStyle w:val="Compact"/>
      </w:pPr>
      <w:r>
        <w:t xml:space="preserve">8 Tareas:</w:t>
      </w:r>
      <w:r>
        <w:t xml:space="preserve"> </w:t>
      </w:r>
      <w:r>
        <w:rPr>
          <w:bCs/>
          <w:b/>
        </w:rPr>
        <w:t xml:space="preserve">40%</w:t>
      </w:r>
    </w:p>
    <w:p>
      <w:pPr>
        <w:numPr>
          <w:ilvl w:val="1"/>
          <w:numId w:val="1005"/>
        </w:numPr>
        <w:pStyle w:val="Compact"/>
      </w:pPr>
      <w:r>
        <w:t xml:space="preserve">Las tareas ayudarán a concretar las conceptos que aprenderemos en clase. También servirán como práctica para los examenes.</w:t>
      </w:r>
    </w:p>
    <w:p>
      <w:pPr>
        <w:numPr>
          <w:ilvl w:val="1"/>
          <w:numId w:val="1005"/>
        </w:numPr>
        <w:pStyle w:val="Compact"/>
      </w:pPr>
      <w:r>
        <w:t xml:space="preserve">Se les dará la tarea el jueves y se tendrá que entregar el siguiente martes durante la clase.</w:t>
      </w:r>
    </w:p>
    <w:p>
      <w:pPr>
        <w:numPr>
          <w:ilvl w:val="0"/>
          <w:numId w:val="1003"/>
        </w:numPr>
        <w:pStyle w:val="Compact"/>
      </w:pPr>
      <w:r>
        <w:t xml:space="preserve">Asistencia y participación:</w:t>
      </w:r>
      <w:r>
        <w:t xml:space="preserve"> </w:t>
      </w:r>
      <w:r>
        <w:rPr>
          <w:bCs/>
          <w:b/>
        </w:rPr>
        <w:t xml:space="preserve">10%</w:t>
      </w:r>
    </w:p>
    <w:p>
      <w:pPr>
        <w:pStyle w:val="FirstParagraph"/>
      </w:pPr>
      <w:r>
        <w:rPr>
          <w:bCs/>
          <w:b/>
        </w:rPr>
        <w:t xml:space="preserve">Life happens clause</w:t>
      </w:r>
      <w:r>
        <w:t xml:space="preserve"> </w:t>
      </w:r>
      <w:r>
        <w:t xml:space="preserve">- You can invoke the clause on one deadline and get a 3-day extension. No explanation required. To use it, please email me stating that you are invoking the clause and the name of the assignment. Tests are excluded.</w:t>
      </w:r>
    </w:p>
    <w:bookmarkEnd w:id="22"/>
    <w:bookmarkStart w:id="23" w:name="programa-del-curso"/>
    <w:p>
      <w:pPr>
        <w:pStyle w:val="Heading2"/>
      </w:pPr>
      <w:r>
        <w:t xml:space="preserve">Programa del curso:</w:t>
      </w:r>
    </w:p>
    <w:p>
      <w:pPr>
        <w:numPr>
          <w:ilvl w:val="0"/>
          <w:numId w:val="1006"/>
        </w:numPr>
        <w:pStyle w:val="Compact"/>
      </w:pPr>
      <w:r>
        <w:t xml:space="preserve">Quiero mantenerme flexible en cuanto al programa del curso para poder adaptarlo a las necesidades de la clase. Por lo tanto, el siguiente programa está sujeto a cambios, aunque sirve de guía para el curso.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667"/>
        <w:gridCol w:w="1250"/>
        <w:gridCol w:w="1945"/>
        <w:gridCol w:w="1528"/>
        <w:gridCol w:w="15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Semana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Lunes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Miércoles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Viernes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Los Temas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Semana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15 -</w:t>
            </w:r>
            <w:r>
              <w:t xml:space="preserve"> </w:t>
            </w:r>
            <w:r>
              <w:rPr>
                <w:bCs/>
                <w:b/>
              </w:rPr>
              <w:t xml:space="preserve">no 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Handout 1 - Introducción histórica; la adquisición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Semana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Handout 1 - La lengua como parte de nuestros genes; la linguística generativa; la lengua como parte innata; aprendizaje vs. adquisición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Semana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2 -</w:t>
            </w:r>
            <w:r>
              <w:t xml:space="preserve"> </w:t>
            </w:r>
            <w:r>
              <w:rPr>
                <w:bCs/>
                <w:b/>
              </w:rPr>
              <w:t xml:space="preserve">Tarea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Handout 2 - El objeto de estudio; las fuentes de datos; el método científico; los rasgos en la sintaxis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Semana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9 -</w:t>
            </w:r>
            <w:r>
              <w:t xml:space="preserve"> </w:t>
            </w:r>
            <w:r>
              <w:rPr>
                <w:bCs/>
                <w:b/>
              </w:rPr>
              <w:t xml:space="preserve">Tarea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Handout 3 - las categorias sintácticas (o las partes de la oración)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Semana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12 -</w:t>
            </w:r>
            <w:r>
              <w:t xml:space="preserve"> </w:t>
            </w:r>
            <w:r>
              <w:rPr>
                <w:bCs/>
                <w:b/>
              </w:rPr>
              <w:t xml:space="preserve">Examen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Handout 4 - Introducción a los sintagmas (phrases)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Semana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23-</w:t>
            </w:r>
            <w:r>
              <w:t xml:space="preserve"> </w:t>
            </w:r>
            <w:r>
              <w:rPr>
                <w:bCs/>
                <w:b/>
              </w:rPr>
              <w:t xml:space="preserve">Tarea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Handout 5 - más sintagmas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Semana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1 -</w:t>
            </w:r>
            <w:r>
              <w:t xml:space="preserve"> </w:t>
            </w:r>
            <w:r>
              <w:rPr>
                <w:bCs/>
                <w:b/>
              </w:rPr>
              <w:t xml:space="preserve">Tarea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Handout 6 - aún más sintagmas (tiempo y complementante); la elipsis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Semana 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8 -</w:t>
            </w:r>
            <w:r>
              <w:t xml:space="preserve"> </w:t>
            </w:r>
            <w:r>
              <w:rPr>
                <w:bCs/>
                <w:b/>
              </w:rPr>
              <w:t xml:space="preserve">Examen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Handout 6 - aún más sintagmas (tiempo y complementante); la elipsis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Semana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11 -</w:t>
            </w:r>
            <w:r>
              <w:t xml:space="preserve"> </w:t>
            </w:r>
            <w:r>
              <w:rPr>
                <w:bCs/>
                <w:b/>
              </w:rPr>
              <w:t xml:space="preserve">Spring break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13 -</w:t>
            </w:r>
            <w:r>
              <w:t xml:space="preserve"> </w:t>
            </w:r>
            <w:r>
              <w:rPr>
                <w:bCs/>
                <w:b/>
              </w:rPr>
              <w:t xml:space="preserve">Spring break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15 -</w:t>
            </w:r>
            <w:r>
              <w:t xml:space="preserve"> </w:t>
            </w:r>
            <w:r>
              <w:rPr>
                <w:bCs/>
                <w:b/>
              </w:rPr>
              <w:t xml:space="preserve">Spring break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Semana 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22 -</w:t>
            </w:r>
            <w:r>
              <w:t xml:space="preserve"> </w:t>
            </w:r>
            <w:r>
              <w:rPr>
                <w:bCs/>
                <w:b/>
              </w:rPr>
              <w:t xml:space="preserve">Tarea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Handout 7 - la referencia, los determinantes, y los pronombres; Handout 8 - los pronombres reflexivos del español y las reglas estructurales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Semana 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29 -</w:t>
            </w:r>
            <w:r>
              <w:t xml:space="preserve"> </w:t>
            </w:r>
            <w:r>
              <w:rPr>
                <w:bCs/>
                <w:b/>
              </w:rPr>
              <w:t xml:space="preserve">Tarea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Handout 9 - la estructura argumental: los argumentos vs. los adjuntos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Semana 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5 -</w:t>
            </w:r>
            <w:r>
              <w:t xml:space="preserve"> </w:t>
            </w:r>
            <w:r>
              <w:rPr>
                <w:bCs/>
                <w:b/>
              </w:rPr>
              <w:t xml:space="preserve">Tarea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Handout 10 - la teoría de X’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Semana 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12 -</w:t>
            </w:r>
            <w:r>
              <w:t xml:space="preserve"> </w:t>
            </w:r>
            <w:r>
              <w:rPr>
                <w:bCs/>
                <w:b/>
              </w:rPr>
              <w:t xml:space="preserve">Examen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Handout 10 - la teoría de X’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Semana 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19 -</w:t>
            </w:r>
            <w:r>
              <w:t xml:space="preserve"> </w:t>
            </w:r>
            <w:r>
              <w:rPr>
                <w:bCs/>
                <w:b/>
              </w:rPr>
              <w:t xml:space="preserve">Tarea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Handout 11 - Explicando parte de la variación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Semana 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26 -</w:t>
            </w:r>
            <w:r>
              <w:t xml:space="preserve"> </w:t>
            </w:r>
            <w:r>
              <w:rPr>
                <w:bCs/>
                <w:b/>
              </w:rPr>
              <w:t xml:space="preserve">Tarea 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Handout 12 - El movimiento de V a T y de T a 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Semana 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29 -</w:t>
            </w:r>
            <w:r>
              <w:t xml:space="preserve"> </w:t>
            </w:r>
            <w:r>
              <w:rPr>
                <w:bCs/>
                <w:b/>
              </w:rPr>
              <w:t xml:space="preserve">Repaso Examen Final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1 -</w:t>
            </w:r>
            <w:r>
              <w:t xml:space="preserve"> </w:t>
            </w:r>
            <w:r>
              <w:rPr>
                <w:bCs/>
                <w:b/>
              </w:rPr>
              <w:t xml:space="preserve">Examen Final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3f5f6"/>
    </w:pPr>
  </w:style>
  <w:style w:type="character" w:customStyle="1" w:styleId="KeywordTok">
    <w:name w:val="KeywordTok"/>
    <w:basedOn w:val="VerbatimChar"/>
    <w:rPr>
      <w:color w:val="007020"/>
      <w:shd w:val="clear" w:fill="f3f5f6"/>
      <w:b/>
    </w:rPr>
  </w:style>
  <w:style w:type="character" w:customStyle="1" w:styleId="DataTypeTok">
    <w:name w:val="DataTypeTok"/>
    <w:basedOn w:val="VerbatimChar"/>
    <w:rPr>
      <w:color w:val="902000"/>
      <w:shd w:val="clear" w:fill="f3f5f6"/>
    </w:rPr>
  </w:style>
  <w:style w:type="character" w:customStyle="1" w:styleId="DecValTok">
    <w:name w:val="DecValTok"/>
    <w:basedOn w:val="VerbatimChar"/>
    <w:rPr>
      <w:color w:val="40a070"/>
      <w:shd w:val="clear" w:fill="f3f5f6"/>
    </w:rPr>
  </w:style>
  <w:style w:type="character" w:customStyle="1" w:styleId="BaseNTok">
    <w:name w:val="BaseNTok"/>
    <w:basedOn w:val="VerbatimChar"/>
    <w:rPr>
      <w:color w:val="40a070"/>
      <w:shd w:val="clear" w:fill="f3f5f6"/>
    </w:rPr>
  </w:style>
  <w:style w:type="character" w:customStyle="1" w:styleId="FloatTok">
    <w:name w:val="FloatTok"/>
    <w:basedOn w:val="VerbatimChar"/>
    <w:rPr>
      <w:color w:val="40a070"/>
      <w:shd w:val="clear" w:fill="f3f5f6"/>
    </w:rPr>
  </w:style>
  <w:style w:type="character" w:customStyle="1" w:styleId="ConstantTok">
    <w:name w:val="ConstantTok"/>
    <w:basedOn w:val="VerbatimChar"/>
    <w:rPr>
      <w:color w:val="880000"/>
      <w:shd w:val="clear" w:fill="f3f5f6"/>
    </w:rPr>
  </w:style>
  <w:style w:type="character" w:customStyle="1" w:styleId="CharTok">
    <w:name w:val="CharTok"/>
    <w:basedOn w:val="VerbatimChar"/>
    <w:rPr>
      <w:color w:val="4070a0"/>
      <w:shd w:val="clear" w:fill="f3f5f6"/>
    </w:rPr>
  </w:style>
  <w:style w:type="character" w:customStyle="1" w:styleId="SpecialCharTok">
    <w:name w:val="SpecialCharTok"/>
    <w:basedOn w:val="VerbatimChar"/>
    <w:rPr>
      <w:color w:val="4070a0"/>
      <w:shd w:val="clear" w:fill="f3f5f6"/>
    </w:rPr>
  </w:style>
  <w:style w:type="character" w:customStyle="1" w:styleId="StringTok">
    <w:name w:val="StringTok"/>
    <w:basedOn w:val="VerbatimChar"/>
    <w:rPr>
      <w:color w:val="4070a0"/>
      <w:shd w:val="clear" w:fill="f3f5f6"/>
    </w:rPr>
  </w:style>
  <w:style w:type="character" w:customStyle="1" w:styleId="VerbatimStringTok">
    <w:name w:val="VerbatimStringTok"/>
    <w:basedOn w:val="VerbatimChar"/>
    <w:rPr>
      <w:color w:val="4070a0"/>
      <w:shd w:val="clear" w:fill="f3f5f6"/>
    </w:rPr>
  </w:style>
  <w:style w:type="character" w:customStyle="1" w:styleId="SpecialStringTok">
    <w:name w:val="SpecialStringTok"/>
    <w:basedOn w:val="VerbatimChar"/>
    <w:rPr>
      <w:color w:val="bb6688"/>
      <w:shd w:val="clear" w:fill="f3f5f6"/>
    </w:rPr>
  </w:style>
  <w:style w:type="character" w:customStyle="1" w:styleId="ImportTok">
    <w:name w:val="ImportTok"/>
    <w:basedOn w:val="VerbatimChar"/>
    <w:rPr>
      <w:color w:val="008000"/>
      <w:shd w:val="clear" w:fill="f3f5f6"/>
      <w:b/>
    </w:rPr>
  </w:style>
  <w:style w:type="character" w:customStyle="1" w:styleId="CommentTok">
    <w:name w:val="CommentTok"/>
    <w:basedOn w:val="VerbatimChar"/>
    <w:rPr>
      <w:color w:val="60a0b0"/>
      <w:shd w:val="clear" w:fill="f3f5f6"/>
      <w:i/>
    </w:rPr>
  </w:style>
  <w:style w:type="character" w:customStyle="1" w:styleId="DocumentationTok">
    <w:name w:val="DocumentationTok"/>
    <w:basedOn w:val="VerbatimChar"/>
    <w:rPr>
      <w:color w:val="ba2121"/>
      <w:shd w:val="clear" w:fill="f3f5f6"/>
      <w:i/>
    </w:rPr>
  </w:style>
  <w:style w:type="character" w:customStyle="1" w:styleId="AnnotationTok">
    <w:name w:val="AnnotationTok"/>
    <w:basedOn w:val="VerbatimChar"/>
    <w:rPr>
      <w:color w:val="60a0b0"/>
      <w:shd w:val="clear" w:fill="f3f5f6"/>
      <w:b/>
      <w:i/>
    </w:rPr>
  </w:style>
  <w:style w:type="character" w:customStyle="1" w:styleId="CommentVarTok">
    <w:name w:val="CommentVarTok"/>
    <w:basedOn w:val="VerbatimChar"/>
    <w:rPr>
      <w:color w:val="60a0b0"/>
      <w:shd w:val="clear" w:fill="f3f5f6"/>
      <w:b/>
      <w:i/>
    </w:rPr>
  </w:style>
  <w:style w:type="character" w:customStyle="1" w:styleId="OtherTok">
    <w:name w:val="OtherTok"/>
    <w:basedOn w:val="VerbatimChar"/>
    <w:rPr>
      <w:color w:val="007020"/>
      <w:shd w:val="clear" w:fill="f3f5f6"/>
    </w:rPr>
  </w:style>
  <w:style w:type="character" w:customStyle="1" w:styleId="FunctionTok">
    <w:name w:val="FunctionTok"/>
    <w:basedOn w:val="VerbatimChar"/>
    <w:rPr>
      <w:color w:val="06287e"/>
      <w:shd w:val="clear" w:fill="f3f5f6"/>
    </w:rPr>
  </w:style>
  <w:style w:type="character" w:customStyle="1" w:styleId="VariableTok">
    <w:name w:val="VariableTok"/>
    <w:basedOn w:val="VerbatimChar"/>
    <w:rPr>
      <w:color w:val="19177c"/>
      <w:shd w:val="clear" w:fill="f3f5f6"/>
    </w:rPr>
  </w:style>
  <w:style w:type="character" w:customStyle="1" w:styleId="ControlFlowTok">
    <w:name w:val="ControlFlowTok"/>
    <w:basedOn w:val="VerbatimChar"/>
    <w:rPr>
      <w:color w:val="007020"/>
      <w:shd w:val="clear" w:fill="f3f5f6"/>
      <w:b/>
    </w:rPr>
  </w:style>
  <w:style w:type="character" w:customStyle="1" w:styleId="OperatorTok">
    <w:name w:val="OperatorTok"/>
    <w:basedOn w:val="VerbatimChar"/>
    <w:rPr>
      <w:color w:val="666666"/>
      <w:shd w:val="clear" w:fill="f3f5f6"/>
    </w:rPr>
  </w:style>
  <w:style w:type="character" w:customStyle="1" w:styleId="BuiltInTok">
    <w:name w:val="BuiltInTok"/>
    <w:basedOn w:val="VerbatimChar"/>
    <w:rPr>
      <w:color w:val="008000"/>
      <w:shd w:val="clear" w:fill="f3f5f6"/>
    </w:rPr>
  </w:style>
  <w:style w:type="character" w:customStyle="1" w:styleId="ExtensionTok">
    <w:name w:val="ExtensionTok"/>
    <w:basedOn w:val="VerbatimChar"/>
    <w:rPr>
      <w:color w:val="007020"/>
      <w:shd w:val="clear" w:fill="f3f5f6"/>
    </w:rPr>
  </w:style>
  <w:style w:type="character" w:customStyle="1" w:styleId="PreprocessorTok">
    <w:name w:val="PreprocessorTok"/>
    <w:basedOn w:val="VerbatimChar"/>
    <w:rPr>
      <w:color w:val="bc7a00"/>
      <w:shd w:val="clear" w:fill="f3f5f6"/>
    </w:rPr>
  </w:style>
  <w:style w:type="character" w:customStyle="1" w:styleId="AttributeTok">
    <w:name w:val="AttributeTok"/>
    <w:basedOn w:val="VerbatimChar"/>
    <w:rPr>
      <w:color w:val="7d9029"/>
      <w:shd w:val="clear" w:fill="f3f5f6"/>
    </w:rPr>
  </w:style>
  <w:style w:type="character" w:customStyle="1" w:styleId="RegionMarkerTok">
    <w:name w:val="RegionMarkerTok"/>
    <w:basedOn w:val="VerbatimChar"/>
    <w:rPr>
      <w:color w:val="007020"/>
      <w:shd w:val="clear" w:fill="f3f5f6"/>
    </w:rPr>
  </w:style>
  <w:style w:type="character" w:customStyle="1" w:styleId="InformationTok">
    <w:name w:val="InformationTok"/>
    <w:basedOn w:val="VerbatimChar"/>
    <w:rPr>
      <w:color w:val="60a0b0"/>
      <w:shd w:val="clear" w:fill="f3f5f6"/>
      <w:b/>
      <w:i/>
    </w:rPr>
  </w:style>
  <w:style w:type="character" w:customStyle="1" w:styleId="WarningTok">
    <w:name w:val="WarningTok"/>
    <w:basedOn w:val="VerbatimChar"/>
    <w:rPr>
      <w:color w:val="60a0b0"/>
      <w:shd w:val="clear" w:fill="f3f5f6"/>
      <w:b/>
      <w:i/>
    </w:rPr>
  </w:style>
  <w:style w:type="character" w:customStyle="1" w:styleId="AlertTok">
    <w:name w:val="AlertTok"/>
    <w:basedOn w:val="VerbatimChar"/>
    <w:rPr>
      <w:color w:val="ff0000"/>
      <w:shd w:val="clear" w:fill="f3f5f6"/>
      <w:b/>
    </w:rPr>
  </w:style>
  <w:style w:type="character" w:customStyle="1" w:styleId="ErrorTok">
    <w:name w:val="ErrorTok"/>
    <w:basedOn w:val="VerbatimChar"/>
    <w:rPr>
      <w:color w:val="ff0000"/>
      <w:shd w:val="clear" w:fill="f3f5f6"/>
      <w:b/>
    </w:rPr>
  </w:style>
  <w:style w:type="character" w:customStyle="1" w:styleId="NormalTok">
    <w:name w:val="NormalTok"/>
    <w:basedOn w:val="VerbatimChar"/>
    <w:rPr>
      <w:color w:val="007020"/>
      <w:shd w:val="clear" w:fill="f3f5f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 - SPAN 305:The structure of Spanish</dc:title>
  <dc:creator>Delgado, FA24; TR 9:30 am - 10:50 pm; 336 Davenport Hall</dc:creator>
  <cp:keywords/>
  <dcterms:created xsi:type="dcterms:W3CDTF">2024-08-15T16:01:34Z</dcterms:created>
  <dcterms:modified xsi:type="dcterms:W3CDTF">2024-08-15T16:01:34Z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