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fr9ea9v6gvz" w:id="0"/>
      <w:bookmarkEnd w:id="0"/>
      <w:r w:rsidDel="00000000" w:rsidR="00000000" w:rsidRPr="00000000">
        <w:rPr>
          <w:rtl w:val="0"/>
        </w:rPr>
        <w:t xml:space="preserve">Decision Log — IBP Trade-Off Engine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One line per decision, in the form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DECISION: X, because Y</w:t>
      </w:r>
      <w:r w:rsidDel="00000000" w:rsidR="00000000" w:rsidRPr="00000000">
        <w:rPr>
          <w:rtl w:val="0"/>
        </w:rPr>
        <w:t xml:space="preserve">. Feeds the limitations slide and the pitch. Append as we go; never rewrite history — if a decision is reversed, add a new entry that supersedes it.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59f6ry52k2k" w:id="1"/>
      <w:bookmarkEnd w:id="1"/>
      <w:r w:rsidDel="00000000" w:rsidR="00000000" w:rsidRPr="00000000">
        <w:rPr>
          <w:rtl w:val="0"/>
        </w:rPr>
        <w:t xml:space="preserve">Step 0 — Foundations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D-001 · Schema layering</w:t>
      </w:r>
      <w:r w:rsidDel="00000000" w:rsidR="00000000" w:rsidRPr="00000000">
        <w:rPr>
          <w:rtl w:val="0"/>
        </w:rPr>
        <w:t xml:space="preserve"> DECISION: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schema.yaml</w:t>
      </w:r>
      <w:r w:rsidDel="00000000" w:rsidR="00000000" w:rsidRPr="00000000">
        <w:rPr>
          <w:rtl w:val="0"/>
        </w:rPr>
        <w:t xml:space="preserve"> defines two layers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raw.*</w:t>
      </w:r>
      <w:r w:rsidDel="00000000" w:rsidR="00000000" w:rsidRPr="00000000">
        <w:rPr>
          <w:rtl w:val="0"/>
        </w:rPr>
        <w:t xml:space="preserve"> (as extracted, defects included)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canonical.*</w:t>
      </w:r>
      <w:r w:rsidDel="00000000" w:rsidR="00000000" w:rsidRPr="00000000">
        <w:rPr>
          <w:rtl w:val="0"/>
        </w:rPr>
        <w:t xml:space="preserve"> (post-clean contract) — because the cleaner's job is precisely the mapping between them, and writing it down makes the cleaning spec testable rather than narrative.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D-002 · Raw file count</w:t>
      </w:r>
      <w:r w:rsidDel="00000000" w:rsidR="00000000" w:rsidRPr="00000000">
        <w:rPr>
          <w:rtl w:val="0"/>
        </w:rPr>
        <w:t xml:space="preserve"> DECISION: the generator emits three raw CSVs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plant_system_A.csv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plant_system_B.csv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sku_master.csv</w:t>
      </w:r>
      <w:r w:rsidDel="00000000" w:rsidR="00000000" w:rsidRPr="00000000">
        <w:rPr>
          <w:rtl w:val="0"/>
        </w:rPr>
        <w:t xml:space="preserve"> — rather than the two named in §5, because margin and standard cost are SKU-level data, and holding 60 SKUs of master data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assumptions.yaml</w:t>
      </w:r>
      <w:r w:rsidDel="00000000" w:rsidR="00000000" w:rsidRPr="00000000">
        <w:rPr>
          <w:rtl w:val="0"/>
        </w:rPr>
        <w:t xml:space="preserve"> would breach the project's own no-hard-coded-SKU-list rule. </w:t>
      </w:r>
      <w:r w:rsidDel="00000000" w:rsidR="00000000" w:rsidRPr="00000000">
        <w:rPr>
          <w:i w:val="1"/>
          <w:iCs w:val="1"/>
          <w:rtl w:val="0"/>
        </w:rPr>
        <w:t xml:space="preserve">Supersedes the §5 Step 2 output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D-003 · Clean master grain</w:t>
      </w:r>
      <w:r w:rsidDel="00000000" w:rsidR="00000000" w:rsidRPr="00000000">
        <w:rPr>
          <w:rtl w:val="0"/>
        </w:rPr>
        <w:t xml:space="preserve"> DECISION: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clean_master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(sku_id, month)</w:t>
      </w:r>
      <w:r w:rsidDel="00000000" w:rsidR="00000000" w:rsidRPr="00000000">
        <w:rPr>
          <w:rtl w:val="0"/>
        </w:rPr>
        <w:t xml:space="preserve"> with forecast lags pivoted to columns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forecast_l1/l2/l3</w:t>
      </w:r>
      <w:r w:rsidDel="00000000" w:rsidR="00000000" w:rsidRPr="00000000">
        <w:rPr>
          <w:rtl w:val="0"/>
        </w:rPr>
        <w:t xml:space="preserve">), because at ~2,160 rows long format triples table size for no analytical gain, and the bias decomposition reads lags side by side. </w:t>
      </w:r>
      <w:r w:rsidDel="00000000" w:rsidR="00000000" w:rsidRPr="00000000">
        <w:rPr>
          <w:i w:val="1"/>
          <w:iCs w:val="1"/>
          <w:rtl w:val="0"/>
        </w:rPr>
        <w:t xml:space="preserve">Known cost: adding a fourth lag later is a schema change, not a data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D-004 · Imputation provenance</w:t>
      </w:r>
      <w:r w:rsidDel="00000000" w:rsidR="00000000" w:rsidRPr="00000000">
        <w:rPr>
          <w:rtl w:val="0"/>
        </w:rPr>
        <w:t xml:space="preserve"> DECISION: every imputed value carries a boolean provenance flag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actual_imputed</w:t>
      </w:r>
      <w:r w:rsidDel="00000000" w:rsidR="00000000" w:rsidRPr="00000000">
        <w:rPr>
          <w:rtl w:val="0"/>
        </w:rPr>
        <w:t xml:space="preserve">), because ~4% of volume arrives null, and unflagged imputation would let generator noise be attributed to a named planner role — silently breaking the accountability claim the tool exists to make.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D-005 · Scalability answer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(§11)</w:t>
      </w:r>
      <w:r w:rsidDel="00000000" w:rsidR="00000000" w:rsidRPr="00000000">
        <w:rPr>
          <w:rtl w:val="0"/>
        </w:rPr>
        <w:t xml:space="preserve"> DECISION: the first thing to break under volume is per-SKU scenario computation, not model training, because scenarios are evaluated combinatorially across levers while the cost model trains once. Mitigations: vectorisation, caching of unchanged legs, parallel scenario evaluation.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D-006 · PII answer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(§11)</w:t>
      </w:r>
      <w:r w:rsidDel="00000000" w:rsidR="00000000" w:rsidRPr="00000000">
        <w:rPr>
          <w:rtl w:val="0"/>
        </w:rPr>
        <w:t xml:space="preserve"> DECISION: data is fully synthetic and accountability is assigned at </w:t>
      </w:r>
      <w:r w:rsidDel="00000000" w:rsidR="00000000" w:rsidRPr="00000000">
        <w:rPr>
          <w:b w:val="1"/>
          <w:bCs w:val="1"/>
          <w:rtl w:val="0"/>
        </w:rPr>
        <w:t xml:space="preserve">role level, not to named individuals</w:t>
      </w:r>
      <w:r w:rsidDel="00000000" w:rsidR="00000000" w:rsidRPr="00000000">
        <w:rPr>
          <w:rtl w:val="0"/>
        </w:rPr>
        <w:t xml:space="preserve">, because the framework's output is an attribution of chronic bias — and attributing that to a person rather than a role turns a diagnostic tool into a performance-management weapon.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D-007 · ROI answer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(§11)</w:t>
      </w:r>
      <w:r w:rsidDel="00000000" w:rsidR="00000000" w:rsidRPr="00000000">
        <w:rPr>
          <w:rtl w:val="0"/>
        </w:rPr>
        <w:t xml:space="preserve"> DECISION: ROI is stated as analyst hours per S&amp;OP cycle × cycles per year, with the hours assumption stated openly, because any single headline number here would be unsupportable and inviting challenge on it costs more credibility than it buys.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bslkuei5u1c9" w:id="2"/>
      <w:bookmarkEnd w:id="2"/>
      <w:r w:rsidDel="00000000" w:rsidR="00000000" w:rsidRPr="00000000">
        <w:rPr>
          <w:rtl w:val="0"/>
        </w:rPr>
        <w:t xml:space="preserve">Open — awaiting ruling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Surrogate key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{system}-{code}</w:t>
            </w:r>
            <w:r w:rsidDel="00000000" w:rsidR="00000000" w:rsidRPr="00000000">
              <w:rPr>
                <w:rtl w:val="0"/>
              </w:rPr>
              <w:t xml:space="preserve"> vs. explicit remapping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Confounders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line_master</w:t>
            </w:r>
            <w:r w:rsidDel="00000000" w:rsidR="00000000" w:rsidRPr="00000000">
              <w:rPr>
                <w:rtl w:val="0"/>
              </w:rPr>
              <w:t xml:space="preserve"> (data) vs.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assumptions.yaml</w:t>
            </w:r>
            <w:r w:rsidDel="00000000" w:rsidR="00000000" w:rsidRPr="00000000">
              <w:rPr>
                <w:rtl w:val="0"/>
              </w:rPr>
              <w:t xml:space="preserve"> (config)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Economic parameter set — source and precision policy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wnmnyaclvle2" w:id="3"/>
      <w:bookmarkEnd w:id="3"/>
      <w:r w:rsidDel="00000000" w:rsidR="00000000" w:rsidRPr="00000000">
        <w:rPr>
          <w:rtl w:val="0"/>
        </w:rPr>
        <w:t xml:space="preserve">Step 1 — Generator design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i w:val="1"/>
          <w:iCs w:val="1"/>
          <w:rtl w:val="0"/>
        </w:rPr>
        <w:t xml:space="preserve">(pending)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