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84F75" w14:textId="49B3CD4C" w:rsidR="003943DD" w:rsidRPr="0076004E" w:rsidRDefault="0076004E" w:rsidP="00DF53A6">
      <w:pPr>
        <w:spacing w:after="0"/>
        <w:jc w:val="both"/>
        <w:rPr>
          <w:b/>
          <w:bCs/>
        </w:rPr>
      </w:pPr>
      <w:r w:rsidRPr="0076004E">
        <w:rPr>
          <w:b/>
          <w:bCs/>
        </w:rPr>
        <w:t>Choques locais versus globais no mercado de ações brasileiro: evidência via controle sintético</w:t>
      </w:r>
    </w:p>
    <w:p w14:paraId="758D97C9" w14:textId="77777777" w:rsidR="0076004E" w:rsidRDefault="0076004E" w:rsidP="00DF53A6">
      <w:pPr>
        <w:spacing w:after="0"/>
        <w:jc w:val="both"/>
      </w:pPr>
    </w:p>
    <w:p w14:paraId="4ECB6C09" w14:textId="77777777" w:rsidR="00D92380" w:rsidRDefault="00D92380" w:rsidP="00DF53A6">
      <w:pPr>
        <w:spacing w:after="0"/>
        <w:jc w:val="both"/>
      </w:pPr>
      <w:r>
        <w:t>Quem acompanha os noticiários financeiros está acostumado a ler opiniões de analistas justificando as quedas ou subidas diárias dos mercados de ações. No Brasil, movimentos do mercado associados a fatos políticos costumam gerar debates acalorados na internet. Alguns usuários atribuem a queda ou subida ao seu político predileto, enquanto outros minimizam o evento, argumentando que o movimento foi semelhante ao observado em outros países.</w:t>
      </w:r>
    </w:p>
    <w:p w14:paraId="6CFC6CDC" w14:textId="77777777" w:rsidR="00D92380" w:rsidRDefault="00D92380" w:rsidP="00DF53A6">
      <w:pPr>
        <w:spacing w:after="0"/>
        <w:jc w:val="both"/>
      </w:pPr>
    </w:p>
    <w:p w14:paraId="2AE91ABA" w14:textId="77777777" w:rsidR="00D92380" w:rsidRDefault="00D92380" w:rsidP="00DF53A6">
      <w:pPr>
        <w:spacing w:after="0"/>
        <w:jc w:val="both"/>
      </w:pPr>
      <w:r>
        <w:t>Deixando a política de lado, este artigo busca, utilizando ferramentas de inferência causal, identificar se determinada flutuação do mercado foi consequência de uma característica intrínseca do mercado brasileiro ou se representou apenas mais um movimento corriqueiro do mercado global.</w:t>
      </w:r>
    </w:p>
    <w:p w14:paraId="4BB30D23" w14:textId="77777777" w:rsidR="00D92380" w:rsidRDefault="00D92380" w:rsidP="00DF53A6">
      <w:pPr>
        <w:spacing w:after="0"/>
        <w:jc w:val="both"/>
      </w:pPr>
    </w:p>
    <w:p w14:paraId="2F0BE111" w14:textId="77777777" w:rsidR="00D92380" w:rsidRDefault="00D92380" w:rsidP="00DF53A6">
      <w:pPr>
        <w:spacing w:after="0"/>
        <w:jc w:val="both"/>
      </w:pPr>
      <w:r>
        <w:t>Para isso, utilizamos a metodologia de inferência causal de controle sintético em dois momentos distintos: o fatídico Joesley Day [1] e o crash observado no início da pandemia da COVID-19 [2].</w:t>
      </w:r>
    </w:p>
    <w:p w14:paraId="75C60B7C" w14:textId="77777777" w:rsidR="00D92380" w:rsidRDefault="00D92380" w:rsidP="00DF53A6">
      <w:pPr>
        <w:spacing w:after="0"/>
        <w:jc w:val="both"/>
      </w:pPr>
    </w:p>
    <w:p w14:paraId="33280523" w14:textId="77777777" w:rsidR="00B854E6" w:rsidRDefault="00B854E6" w:rsidP="00DF53A6">
      <w:pPr>
        <w:spacing w:after="0"/>
        <w:jc w:val="both"/>
      </w:pPr>
    </w:p>
    <w:p w14:paraId="49B38ABC" w14:textId="4D9C127F" w:rsidR="00D92380" w:rsidRPr="00B854E6" w:rsidRDefault="00B854E6" w:rsidP="00DF53A6">
      <w:pPr>
        <w:spacing w:after="0"/>
        <w:jc w:val="both"/>
        <w:rPr>
          <w:b/>
          <w:bCs/>
        </w:rPr>
      </w:pPr>
      <w:r>
        <w:rPr>
          <w:b/>
          <w:bCs/>
        </w:rPr>
        <w:t>Os eventos</w:t>
      </w:r>
    </w:p>
    <w:p w14:paraId="6F18AB02" w14:textId="77777777" w:rsidR="00D92380" w:rsidRDefault="00D92380" w:rsidP="00DF53A6">
      <w:pPr>
        <w:spacing w:after="0"/>
        <w:jc w:val="both"/>
      </w:pPr>
      <w:r>
        <w:t>No dia 17 de maio de 2017, foi noticiado pela imprensa o vazamento de uma gravação da delação premiada de Joesley Batista (JBS) envolvendo o então presidente Michel Temer. Na gravação, o empresário mencionava a suposta compra do silêncio de Eduardo Cunha, implicando o presidente em esquemas de corrupção.</w:t>
      </w:r>
    </w:p>
    <w:p w14:paraId="2065571A" w14:textId="77777777" w:rsidR="00D92380" w:rsidRDefault="00D92380" w:rsidP="00DF53A6">
      <w:pPr>
        <w:spacing w:after="0"/>
        <w:jc w:val="both"/>
      </w:pPr>
    </w:p>
    <w:p w14:paraId="6ACB3F28" w14:textId="77777777" w:rsidR="00D92380" w:rsidRDefault="00D92380" w:rsidP="00DF53A6">
      <w:pPr>
        <w:spacing w:after="0"/>
        <w:jc w:val="both"/>
      </w:pPr>
      <w:r>
        <w:t>Naquele momento, o governo discutia uma proposta de reforma da previdência com o objetivo de equilibrar as contas públicas, e o enfraquecimento político do presidente poderia comprometer sua aprovação. Como a notícia foi divulgada após o fechamento do mercado, o impacto no mercado de ações brasileiro ocorreu apenas no pregão seguinte.</w:t>
      </w:r>
    </w:p>
    <w:p w14:paraId="1242E303" w14:textId="77777777" w:rsidR="00D92380" w:rsidRDefault="00D92380" w:rsidP="00DF53A6">
      <w:pPr>
        <w:spacing w:after="0"/>
        <w:jc w:val="both"/>
      </w:pPr>
    </w:p>
    <w:p w14:paraId="1CF736A3" w14:textId="61D1F0C0" w:rsidR="000B64DA" w:rsidRDefault="00B65557" w:rsidP="00DF53A6">
      <w:pPr>
        <w:spacing w:after="0"/>
        <w:jc w:val="both"/>
      </w:pPr>
      <w:r w:rsidRPr="00B65557">
        <w:rPr>
          <w:noProof/>
        </w:rPr>
        <w:drawing>
          <wp:inline distT="0" distB="0" distL="0" distR="0" wp14:anchorId="4E0DE6F7" wp14:editId="32942E2F">
            <wp:extent cx="5400040" cy="2107565"/>
            <wp:effectExtent l="0" t="0" r="0" b="6985"/>
            <wp:docPr id="1946282366"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82366" name="Picture 1" descr="A graph showing a line&#10;&#10;AI-generated content may be incorrect."/>
                    <pic:cNvPicPr/>
                  </pic:nvPicPr>
                  <pic:blipFill>
                    <a:blip r:embed="rId7"/>
                    <a:stretch>
                      <a:fillRect/>
                    </a:stretch>
                  </pic:blipFill>
                  <pic:spPr>
                    <a:xfrm>
                      <a:off x="0" y="0"/>
                      <a:ext cx="5400040" cy="2107565"/>
                    </a:xfrm>
                    <a:prstGeom prst="rect">
                      <a:avLst/>
                    </a:prstGeom>
                  </pic:spPr>
                </pic:pic>
              </a:graphicData>
            </a:graphic>
          </wp:inline>
        </w:drawing>
      </w:r>
    </w:p>
    <w:p w14:paraId="4E7A14AD" w14:textId="119AFB8A" w:rsidR="0098216A" w:rsidRDefault="0098216A" w:rsidP="00DF53A6">
      <w:pPr>
        <w:spacing w:after="0"/>
        <w:jc w:val="both"/>
      </w:pPr>
      <w:r>
        <w:t>Figure 1</w:t>
      </w:r>
    </w:p>
    <w:p w14:paraId="06C58DAE" w14:textId="77777777" w:rsidR="000B64DA" w:rsidRDefault="000B64DA" w:rsidP="00DF53A6">
      <w:pPr>
        <w:spacing w:after="0"/>
        <w:jc w:val="both"/>
      </w:pPr>
    </w:p>
    <w:p w14:paraId="2BAB3A98" w14:textId="77777777" w:rsidR="00FE5BAD" w:rsidRDefault="00FE5BAD" w:rsidP="00B86576">
      <w:pPr>
        <w:spacing w:after="0"/>
        <w:jc w:val="both"/>
      </w:pPr>
    </w:p>
    <w:p w14:paraId="388B2ABF" w14:textId="77777777" w:rsidR="00FE5BAD" w:rsidRDefault="00FE5BAD" w:rsidP="00B86576">
      <w:pPr>
        <w:spacing w:after="0"/>
        <w:jc w:val="both"/>
      </w:pPr>
    </w:p>
    <w:p w14:paraId="156C8D06" w14:textId="62F3A844" w:rsidR="00B86576" w:rsidRDefault="00B86576" w:rsidP="00B86576">
      <w:pPr>
        <w:spacing w:after="0"/>
        <w:jc w:val="both"/>
      </w:pPr>
      <w:r>
        <w:lastRenderedPageBreak/>
        <w:t>No início de 2020, a rápida disseminação da COVID-19 levou à adoção de medidas de isolamento em escala global, provocando um forte aumento da incerteza econômica e uma queda abrupta nos mercados acionários internacionais.</w:t>
      </w:r>
    </w:p>
    <w:p w14:paraId="5560C1CB" w14:textId="77777777" w:rsidR="00273687" w:rsidRDefault="00273687" w:rsidP="00B86576">
      <w:pPr>
        <w:spacing w:after="0"/>
        <w:jc w:val="both"/>
      </w:pPr>
    </w:p>
    <w:p w14:paraId="4BED64B5" w14:textId="4C9AFE33" w:rsidR="00FE5BAD" w:rsidRDefault="00BA335D" w:rsidP="00B86576">
      <w:pPr>
        <w:spacing w:after="0"/>
        <w:jc w:val="both"/>
      </w:pPr>
      <w:r w:rsidRPr="00BA335D">
        <w:rPr>
          <w:noProof/>
        </w:rPr>
        <w:drawing>
          <wp:inline distT="0" distB="0" distL="0" distR="0" wp14:anchorId="7116C975" wp14:editId="62362E89">
            <wp:extent cx="5400040" cy="2107565"/>
            <wp:effectExtent l="0" t="0" r="0" b="6985"/>
            <wp:docPr id="546184826"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84826" name="Picture 1" descr="A graph with a line graph&#10;&#10;AI-generated content may be incorrect."/>
                    <pic:cNvPicPr/>
                  </pic:nvPicPr>
                  <pic:blipFill>
                    <a:blip r:embed="rId8"/>
                    <a:stretch>
                      <a:fillRect/>
                    </a:stretch>
                  </pic:blipFill>
                  <pic:spPr>
                    <a:xfrm>
                      <a:off x="0" y="0"/>
                      <a:ext cx="5400040" cy="2107565"/>
                    </a:xfrm>
                    <a:prstGeom prst="rect">
                      <a:avLst/>
                    </a:prstGeom>
                  </pic:spPr>
                </pic:pic>
              </a:graphicData>
            </a:graphic>
          </wp:inline>
        </w:drawing>
      </w:r>
    </w:p>
    <w:p w14:paraId="7109BB6A" w14:textId="7D4F0B76" w:rsidR="0098216A" w:rsidRDefault="0098216A" w:rsidP="00B86576">
      <w:pPr>
        <w:spacing w:after="0"/>
        <w:jc w:val="both"/>
      </w:pPr>
      <w:r>
        <w:t>Figure 2</w:t>
      </w:r>
    </w:p>
    <w:p w14:paraId="006ACA58" w14:textId="77777777" w:rsidR="00B86576" w:rsidRDefault="00B86576" w:rsidP="00B86576">
      <w:pPr>
        <w:spacing w:after="0"/>
        <w:jc w:val="both"/>
      </w:pPr>
    </w:p>
    <w:p w14:paraId="27002F00" w14:textId="2705F1E7" w:rsidR="00DF53A6" w:rsidRDefault="00B86576" w:rsidP="00B86576">
      <w:pPr>
        <w:spacing w:after="0"/>
        <w:jc w:val="both"/>
      </w:pPr>
      <w:r>
        <w:t>A análise desses dois episódios permite contrastar impactos específicos do Brasil com movimentos globais do mercado</w:t>
      </w:r>
      <w:r w:rsidR="00C95A96">
        <w:t>, pois e</w:t>
      </w:r>
      <w:r>
        <w:t>nquanto o Joesley Day representa um evento de caráter local, potencialmente restrito ao mercado brasileiro, a pandemia da COVID-19 constitui um choque global que afetou simultaneamente os mercados acionários em diversas economias.</w:t>
      </w:r>
    </w:p>
    <w:p w14:paraId="5F37DDE0" w14:textId="77777777" w:rsidR="00B86576" w:rsidRDefault="00B86576" w:rsidP="00B86576">
      <w:pPr>
        <w:spacing w:after="0"/>
        <w:jc w:val="both"/>
      </w:pPr>
    </w:p>
    <w:p w14:paraId="4405D61A" w14:textId="77777777" w:rsidR="00B86576" w:rsidRPr="00B86576" w:rsidRDefault="00B86576" w:rsidP="00B86576">
      <w:pPr>
        <w:spacing w:after="0"/>
        <w:jc w:val="both"/>
      </w:pPr>
    </w:p>
    <w:p w14:paraId="253CDB73" w14:textId="29D932FD" w:rsidR="00DF53A6" w:rsidRDefault="000C0034" w:rsidP="00DF53A6">
      <w:pPr>
        <w:spacing w:after="0"/>
        <w:jc w:val="both"/>
        <w:rPr>
          <w:b/>
          <w:bCs/>
        </w:rPr>
      </w:pPr>
      <w:r>
        <w:rPr>
          <w:b/>
          <w:bCs/>
        </w:rPr>
        <w:t>Metodologia</w:t>
      </w:r>
    </w:p>
    <w:p w14:paraId="3CB4740D" w14:textId="77777777" w:rsidR="009812EF" w:rsidRDefault="009812EF" w:rsidP="009812EF">
      <w:pPr>
        <w:spacing w:after="0"/>
        <w:jc w:val="both"/>
      </w:pPr>
      <w:r>
        <w:t>Quando se busca identificar um impacto causal, o padrão-ouro é a realização de experimentos controlados do tipo A/B, nos quais a população é dividida aleatoriamente em dois grupos. Um dos grupos recebe o tratamento, enquanto o outro atua como grupo de controle. Ao final, compara-se o resultado médio entre os dois grupos para verificar se o tratamento gerou uma diferença estatisticamente significativa.</w:t>
      </w:r>
    </w:p>
    <w:p w14:paraId="71D4F68E" w14:textId="77777777" w:rsidR="009812EF" w:rsidRDefault="009812EF" w:rsidP="009812EF">
      <w:pPr>
        <w:spacing w:after="0"/>
        <w:jc w:val="both"/>
      </w:pPr>
    </w:p>
    <w:p w14:paraId="12038BA4" w14:textId="77777777" w:rsidR="009812EF" w:rsidRDefault="009812EF" w:rsidP="009812EF">
      <w:pPr>
        <w:spacing w:after="0"/>
        <w:jc w:val="both"/>
      </w:pPr>
      <w:r>
        <w:t>Um exemplo clássico desse procedimento ocorre em testes clínicos de novos medicamentos, nos quais os pacientes são separados em dois grupos: um recebe o fármaco em teste e o outro recebe um placebo. Caso o grupo tratado apresente melhora significativa em relação ao grupo de controle, conclui-se que o medicamento é eficaz.</w:t>
      </w:r>
    </w:p>
    <w:p w14:paraId="2D10D557" w14:textId="77777777" w:rsidR="009812EF" w:rsidRDefault="009812EF" w:rsidP="009812EF">
      <w:pPr>
        <w:spacing w:after="0"/>
        <w:jc w:val="both"/>
      </w:pPr>
    </w:p>
    <w:p w14:paraId="79D53E5F" w14:textId="77777777" w:rsidR="009812EF" w:rsidRDefault="009812EF" w:rsidP="009812EF">
      <w:pPr>
        <w:spacing w:after="0"/>
        <w:jc w:val="both"/>
      </w:pPr>
      <w:r>
        <w:t>No entanto, esse tipo de experimento nem sempre é viável. Em particular, no contexto deste estudo, não é possível observar dois mercados acionários brasileiros idênticos, nos quais apenas um fosse afetado pelos eventos de interesse. Para contornar essa limitação, utilizamos o método de Controle Sintético, proposto por Abadie, Diamond e Hainmueller [3].</w:t>
      </w:r>
    </w:p>
    <w:p w14:paraId="04C6C591" w14:textId="77777777" w:rsidR="009812EF" w:rsidRDefault="009812EF" w:rsidP="009812EF">
      <w:pPr>
        <w:spacing w:after="0"/>
        <w:jc w:val="both"/>
      </w:pPr>
    </w:p>
    <w:p w14:paraId="5895F350" w14:textId="77777777" w:rsidR="009812EF" w:rsidRDefault="009812EF" w:rsidP="009812EF">
      <w:pPr>
        <w:spacing w:after="0"/>
        <w:jc w:val="both"/>
      </w:pPr>
      <w:r>
        <w:t xml:space="preserve">De acordo com a definição apresentada na Wikipedia, o controle sintético é “uma média ponderada de várias unidades (como regiões ou empresas), combinadas para recriar a trajetória que o resultado de uma unidade tratada teria seguido na ausência da intervenção. Os pesos são selecionados de forma baseada em dados, de modo que o controle sintético </w:t>
      </w:r>
      <w:r>
        <w:lastRenderedPageBreak/>
        <w:t>resultante se assemelhe à unidade tratada em termos de preditores-chave da variável de interesse” [4].</w:t>
      </w:r>
    </w:p>
    <w:p w14:paraId="0BA42147" w14:textId="77777777" w:rsidR="009812EF" w:rsidRDefault="009812EF" w:rsidP="009812EF">
      <w:pPr>
        <w:spacing w:after="0"/>
        <w:jc w:val="both"/>
      </w:pPr>
    </w:p>
    <w:p w14:paraId="329D52C5" w14:textId="77777777" w:rsidR="009812EF" w:rsidRDefault="009812EF" w:rsidP="009812EF">
      <w:pPr>
        <w:spacing w:after="0"/>
        <w:jc w:val="both"/>
      </w:pPr>
      <w:r>
        <w:t>No contexto deste trabalho, o procedimento consiste em construir uma carteira sintética formada por ETFs de diferentes países, cuja dinâmica, no período anterior aos eventos analisados, seja semelhante à da bolsa brasileira. Essa carteira sintética permite estimar o comportamento contrafactual do mercado acionário brasileiro, isto é, como ele teria evoluído na ausência dos choques associados aos episódios do Joesley Day e da pandemia de COVID-19.</w:t>
      </w:r>
    </w:p>
    <w:p w14:paraId="587D2F53" w14:textId="77777777" w:rsidR="009812EF" w:rsidRDefault="009812EF" w:rsidP="009812EF">
      <w:pPr>
        <w:spacing w:after="0"/>
        <w:jc w:val="both"/>
      </w:pPr>
    </w:p>
    <w:p w14:paraId="70297CBA" w14:textId="558D623C" w:rsidR="00A3332B" w:rsidRDefault="009812EF" w:rsidP="009812EF">
      <w:pPr>
        <w:spacing w:after="0"/>
        <w:jc w:val="both"/>
        <w:rPr>
          <w:b/>
          <w:bCs/>
        </w:rPr>
      </w:pPr>
      <w:r>
        <w:t>A seguir, apresentamos detalhadamente as etapas de construção do controle sintético e a análise dos impactos causais desses eventos sobre a bolsa brasileira.</w:t>
      </w:r>
    </w:p>
    <w:p w14:paraId="3C6A5D10" w14:textId="77777777" w:rsidR="00A3332B" w:rsidRDefault="00A3332B" w:rsidP="00DF53A6">
      <w:pPr>
        <w:spacing w:after="0"/>
        <w:jc w:val="both"/>
        <w:rPr>
          <w:b/>
          <w:bCs/>
        </w:rPr>
      </w:pPr>
    </w:p>
    <w:p w14:paraId="5E3D0AA6" w14:textId="77777777" w:rsidR="009812EF" w:rsidRDefault="009812EF" w:rsidP="00DF53A6">
      <w:pPr>
        <w:spacing w:after="0"/>
        <w:jc w:val="both"/>
        <w:rPr>
          <w:b/>
          <w:bCs/>
        </w:rPr>
      </w:pPr>
    </w:p>
    <w:p w14:paraId="158FA1DC" w14:textId="45BCEBC3" w:rsidR="00510056" w:rsidRDefault="00510056" w:rsidP="00DF53A6">
      <w:pPr>
        <w:spacing w:after="0"/>
        <w:jc w:val="both"/>
        <w:rPr>
          <w:b/>
          <w:bCs/>
        </w:rPr>
      </w:pPr>
      <w:r>
        <w:rPr>
          <w:b/>
          <w:bCs/>
        </w:rPr>
        <w:t>Dados</w:t>
      </w:r>
    </w:p>
    <w:p w14:paraId="52BF0E8E" w14:textId="78786843" w:rsidR="003943DD" w:rsidRDefault="005B3665" w:rsidP="00DF53A6">
      <w:pPr>
        <w:spacing w:after="0"/>
        <w:jc w:val="both"/>
      </w:pPr>
      <w:r w:rsidRPr="005B3665">
        <w:t>Para a construção do controle sintético do mercado acionário brasileiro, representado pelo ETF EWZ, foram utilizados 43 ETFs de índices acionários de outros países, conforme apresentado na Tabela 1. Os dados diários de preços de fechamento ajustados foram obtidos a partir da base Yahoo Finance.</w:t>
      </w:r>
    </w:p>
    <w:p w14:paraId="5B0F136D" w14:textId="77777777" w:rsidR="001227E8" w:rsidRDefault="001227E8" w:rsidP="00DF53A6">
      <w:pPr>
        <w:spacing w:after="0"/>
        <w:jc w:val="both"/>
      </w:pPr>
    </w:p>
    <w:tbl>
      <w:tblPr>
        <w:tblW w:w="9580" w:type="dxa"/>
        <w:tblCellMar>
          <w:left w:w="70" w:type="dxa"/>
          <w:right w:w="70" w:type="dxa"/>
        </w:tblCellMar>
        <w:tblLook w:val="04A0" w:firstRow="1" w:lastRow="0" w:firstColumn="1" w:lastColumn="0" w:noHBand="0" w:noVBand="1"/>
      </w:tblPr>
      <w:tblGrid>
        <w:gridCol w:w="2200"/>
        <w:gridCol w:w="695"/>
        <w:gridCol w:w="480"/>
        <w:gridCol w:w="2200"/>
        <w:gridCol w:w="695"/>
        <w:gridCol w:w="480"/>
        <w:gridCol w:w="2200"/>
        <w:gridCol w:w="730"/>
      </w:tblGrid>
      <w:tr w:rsidR="00952DBE" w:rsidRPr="00952DBE" w14:paraId="4635654E" w14:textId="77777777" w:rsidTr="00952DBE">
        <w:trPr>
          <w:trHeight w:val="288"/>
        </w:trPr>
        <w:tc>
          <w:tcPr>
            <w:tcW w:w="2200" w:type="dxa"/>
            <w:tcBorders>
              <w:top w:val="single" w:sz="4" w:space="0" w:color="auto"/>
              <w:left w:val="single" w:sz="4" w:space="0" w:color="auto"/>
              <w:bottom w:val="single" w:sz="4" w:space="0" w:color="auto"/>
              <w:right w:val="single" w:sz="4" w:space="0" w:color="auto"/>
            </w:tcBorders>
            <w:noWrap/>
            <w:vAlign w:val="bottom"/>
            <w:hideMark/>
          </w:tcPr>
          <w:p w14:paraId="556A5FD1"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r w:rsidRPr="00952DBE">
              <w:rPr>
                <w:rFonts w:ascii="Aptos Narrow" w:eastAsia="Times New Roman" w:hAnsi="Aptos Narrow" w:cs="Times New Roman"/>
                <w:b/>
                <w:bCs/>
                <w:color w:val="000000"/>
                <w:kern w:val="0"/>
                <w:lang w:eastAsia="pt-BR"/>
                <w14:ligatures w14:val="none"/>
              </w:rPr>
              <w:t>País</w:t>
            </w:r>
          </w:p>
        </w:tc>
        <w:tc>
          <w:tcPr>
            <w:tcW w:w="660" w:type="dxa"/>
            <w:tcBorders>
              <w:top w:val="single" w:sz="4" w:space="0" w:color="auto"/>
              <w:left w:val="nil"/>
              <w:bottom w:val="single" w:sz="4" w:space="0" w:color="auto"/>
              <w:right w:val="single" w:sz="4" w:space="0" w:color="auto"/>
            </w:tcBorders>
            <w:noWrap/>
            <w:vAlign w:val="bottom"/>
            <w:hideMark/>
          </w:tcPr>
          <w:p w14:paraId="6CEACA09"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r w:rsidRPr="00952DBE">
              <w:rPr>
                <w:rFonts w:ascii="Aptos Narrow" w:eastAsia="Times New Roman" w:hAnsi="Aptos Narrow" w:cs="Times New Roman"/>
                <w:b/>
                <w:bCs/>
                <w:color w:val="000000"/>
                <w:kern w:val="0"/>
                <w:lang w:eastAsia="pt-BR"/>
                <w14:ligatures w14:val="none"/>
              </w:rPr>
              <w:t>Ticker</w:t>
            </w:r>
          </w:p>
        </w:tc>
        <w:tc>
          <w:tcPr>
            <w:tcW w:w="480" w:type="dxa"/>
            <w:tcBorders>
              <w:top w:val="nil"/>
              <w:left w:val="nil"/>
              <w:bottom w:val="nil"/>
              <w:right w:val="nil"/>
            </w:tcBorders>
            <w:noWrap/>
            <w:vAlign w:val="bottom"/>
            <w:hideMark/>
          </w:tcPr>
          <w:p w14:paraId="0655B7CE"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p>
        </w:tc>
        <w:tc>
          <w:tcPr>
            <w:tcW w:w="2200" w:type="dxa"/>
            <w:tcBorders>
              <w:top w:val="single" w:sz="4" w:space="0" w:color="auto"/>
              <w:left w:val="single" w:sz="4" w:space="0" w:color="auto"/>
              <w:bottom w:val="single" w:sz="4" w:space="0" w:color="auto"/>
              <w:right w:val="single" w:sz="4" w:space="0" w:color="auto"/>
            </w:tcBorders>
            <w:noWrap/>
            <w:vAlign w:val="bottom"/>
            <w:hideMark/>
          </w:tcPr>
          <w:p w14:paraId="2179091E"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r w:rsidRPr="00952DBE">
              <w:rPr>
                <w:rFonts w:ascii="Aptos Narrow" w:eastAsia="Times New Roman" w:hAnsi="Aptos Narrow" w:cs="Times New Roman"/>
                <w:b/>
                <w:bCs/>
                <w:color w:val="000000"/>
                <w:kern w:val="0"/>
                <w:lang w:eastAsia="pt-BR"/>
                <w14:ligatures w14:val="none"/>
              </w:rPr>
              <w:t>País</w:t>
            </w:r>
          </w:p>
        </w:tc>
        <w:tc>
          <w:tcPr>
            <w:tcW w:w="660" w:type="dxa"/>
            <w:tcBorders>
              <w:top w:val="single" w:sz="4" w:space="0" w:color="auto"/>
              <w:left w:val="nil"/>
              <w:bottom w:val="single" w:sz="4" w:space="0" w:color="auto"/>
              <w:right w:val="single" w:sz="4" w:space="0" w:color="auto"/>
            </w:tcBorders>
            <w:noWrap/>
            <w:vAlign w:val="bottom"/>
            <w:hideMark/>
          </w:tcPr>
          <w:p w14:paraId="3B5F8EFA"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r w:rsidRPr="00952DBE">
              <w:rPr>
                <w:rFonts w:ascii="Aptos Narrow" w:eastAsia="Times New Roman" w:hAnsi="Aptos Narrow" w:cs="Times New Roman"/>
                <w:b/>
                <w:bCs/>
                <w:color w:val="000000"/>
                <w:kern w:val="0"/>
                <w:lang w:eastAsia="pt-BR"/>
                <w14:ligatures w14:val="none"/>
              </w:rPr>
              <w:t>Ticker</w:t>
            </w:r>
          </w:p>
        </w:tc>
        <w:tc>
          <w:tcPr>
            <w:tcW w:w="480" w:type="dxa"/>
            <w:tcBorders>
              <w:top w:val="nil"/>
              <w:left w:val="nil"/>
              <w:bottom w:val="nil"/>
              <w:right w:val="nil"/>
            </w:tcBorders>
            <w:noWrap/>
            <w:vAlign w:val="bottom"/>
            <w:hideMark/>
          </w:tcPr>
          <w:p w14:paraId="5BFCE6CF"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p>
        </w:tc>
        <w:tc>
          <w:tcPr>
            <w:tcW w:w="2200" w:type="dxa"/>
            <w:tcBorders>
              <w:top w:val="single" w:sz="4" w:space="0" w:color="auto"/>
              <w:left w:val="single" w:sz="4" w:space="0" w:color="auto"/>
              <w:bottom w:val="single" w:sz="4" w:space="0" w:color="auto"/>
              <w:right w:val="single" w:sz="4" w:space="0" w:color="auto"/>
            </w:tcBorders>
            <w:noWrap/>
            <w:vAlign w:val="bottom"/>
            <w:hideMark/>
          </w:tcPr>
          <w:p w14:paraId="102F72D0"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r w:rsidRPr="00952DBE">
              <w:rPr>
                <w:rFonts w:ascii="Aptos Narrow" w:eastAsia="Times New Roman" w:hAnsi="Aptos Narrow" w:cs="Times New Roman"/>
                <w:b/>
                <w:bCs/>
                <w:color w:val="000000"/>
                <w:kern w:val="0"/>
                <w:lang w:eastAsia="pt-BR"/>
                <w14:ligatures w14:val="none"/>
              </w:rPr>
              <w:t>País</w:t>
            </w:r>
          </w:p>
        </w:tc>
        <w:tc>
          <w:tcPr>
            <w:tcW w:w="700" w:type="dxa"/>
            <w:tcBorders>
              <w:top w:val="single" w:sz="4" w:space="0" w:color="auto"/>
              <w:left w:val="nil"/>
              <w:bottom w:val="single" w:sz="4" w:space="0" w:color="auto"/>
              <w:right w:val="single" w:sz="4" w:space="0" w:color="auto"/>
            </w:tcBorders>
            <w:noWrap/>
            <w:vAlign w:val="bottom"/>
            <w:hideMark/>
          </w:tcPr>
          <w:p w14:paraId="0754405A" w14:textId="77777777" w:rsidR="00952DBE" w:rsidRPr="00952DBE" w:rsidRDefault="00952DBE" w:rsidP="00952DBE">
            <w:pPr>
              <w:spacing w:after="0" w:line="240" w:lineRule="auto"/>
              <w:rPr>
                <w:rFonts w:ascii="Aptos Narrow" w:eastAsia="Times New Roman" w:hAnsi="Aptos Narrow" w:cs="Times New Roman"/>
                <w:b/>
                <w:bCs/>
                <w:color w:val="000000"/>
                <w:kern w:val="0"/>
                <w:lang w:eastAsia="pt-BR"/>
                <w14:ligatures w14:val="none"/>
              </w:rPr>
            </w:pPr>
            <w:r w:rsidRPr="00952DBE">
              <w:rPr>
                <w:rFonts w:ascii="Aptos Narrow" w:eastAsia="Times New Roman" w:hAnsi="Aptos Narrow" w:cs="Times New Roman"/>
                <w:b/>
                <w:bCs/>
                <w:color w:val="000000"/>
                <w:kern w:val="0"/>
                <w:lang w:eastAsia="pt-BR"/>
                <w14:ligatures w14:val="none"/>
              </w:rPr>
              <w:t>Ticker</w:t>
            </w:r>
          </w:p>
        </w:tc>
      </w:tr>
      <w:tr w:rsidR="00952DBE" w:rsidRPr="00952DBE" w14:paraId="620B7CF7"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097C4C6A"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Argentina</w:t>
            </w:r>
          </w:p>
        </w:tc>
        <w:tc>
          <w:tcPr>
            <w:tcW w:w="660" w:type="dxa"/>
            <w:tcBorders>
              <w:top w:val="nil"/>
              <w:left w:val="nil"/>
              <w:bottom w:val="single" w:sz="4" w:space="0" w:color="auto"/>
              <w:right w:val="single" w:sz="4" w:space="0" w:color="auto"/>
            </w:tcBorders>
            <w:noWrap/>
            <w:vAlign w:val="bottom"/>
            <w:hideMark/>
          </w:tcPr>
          <w:p w14:paraId="008C214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ARGT</w:t>
            </w:r>
          </w:p>
        </w:tc>
        <w:tc>
          <w:tcPr>
            <w:tcW w:w="480" w:type="dxa"/>
            <w:tcBorders>
              <w:top w:val="nil"/>
              <w:left w:val="nil"/>
              <w:bottom w:val="nil"/>
              <w:right w:val="nil"/>
            </w:tcBorders>
            <w:noWrap/>
            <w:vAlign w:val="bottom"/>
            <w:hideMark/>
          </w:tcPr>
          <w:p w14:paraId="1AE55F1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6C7C9A1D"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Alemanha</w:t>
            </w:r>
          </w:p>
        </w:tc>
        <w:tc>
          <w:tcPr>
            <w:tcW w:w="660" w:type="dxa"/>
            <w:tcBorders>
              <w:top w:val="nil"/>
              <w:left w:val="nil"/>
              <w:bottom w:val="single" w:sz="4" w:space="0" w:color="auto"/>
              <w:right w:val="single" w:sz="4" w:space="0" w:color="auto"/>
            </w:tcBorders>
            <w:noWrap/>
            <w:vAlign w:val="bottom"/>
            <w:hideMark/>
          </w:tcPr>
          <w:p w14:paraId="033143D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EWG</w:t>
            </w:r>
          </w:p>
        </w:tc>
        <w:tc>
          <w:tcPr>
            <w:tcW w:w="480" w:type="dxa"/>
            <w:tcBorders>
              <w:top w:val="nil"/>
              <w:left w:val="nil"/>
              <w:bottom w:val="nil"/>
              <w:right w:val="nil"/>
            </w:tcBorders>
            <w:noWrap/>
            <w:vAlign w:val="bottom"/>
            <w:hideMark/>
          </w:tcPr>
          <w:p w14:paraId="1403226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574BD13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Coreia do Sul</w:t>
            </w:r>
          </w:p>
        </w:tc>
        <w:tc>
          <w:tcPr>
            <w:tcW w:w="700" w:type="dxa"/>
            <w:tcBorders>
              <w:top w:val="nil"/>
              <w:left w:val="nil"/>
              <w:bottom w:val="single" w:sz="4" w:space="0" w:color="auto"/>
              <w:right w:val="single" w:sz="4" w:space="0" w:color="auto"/>
            </w:tcBorders>
            <w:noWrap/>
            <w:vAlign w:val="bottom"/>
            <w:hideMark/>
          </w:tcPr>
          <w:p w14:paraId="12A5146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EWY</w:t>
            </w:r>
          </w:p>
        </w:tc>
      </w:tr>
      <w:tr w:rsidR="00952DBE" w:rsidRPr="00952DBE" w14:paraId="2C6CA691"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6DC6049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Colômbia</w:t>
            </w:r>
          </w:p>
        </w:tc>
        <w:tc>
          <w:tcPr>
            <w:tcW w:w="660" w:type="dxa"/>
            <w:tcBorders>
              <w:top w:val="nil"/>
              <w:left w:val="nil"/>
              <w:bottom w:val="single" w:sz="4" w:space="0" w:color="auto"/>
              <w:right w:val="single" w:sz="4" w:space="0" w:color="auto"/>
            </w:tcBorders>
            <w:noWrap/>
            <w:vAlign w:val="bottom"/>
            <w:hideMark/>
          </w:tcPr>
          <w:p w14:paraId="60AC090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COLO</w:t>
            </w:r>
          </w:p>
        </w:tc>
        <w:tc>
          <w:tcPr>
            <w:tcW w:w="480" w:type="dxa"/>
            <w:tcBorders>
              <w:top w:val="nil"/>
              <w:left w:val="nil"/>
              <w:bottom w:val="nil"/>
              <w:right w:val="nil"/>
            </w:tcBorders>
            <w:noWrap/>
            <w:vAlign w:val="bottom"/>
            <w:hideMark/>
          </w:tcPr>
          <w:p w14:paraId="42E30D1C"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1B7AD48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Hong Kong</w:t>
            </w:r>
          </w:p>
        </w:tc>
        <w:tc>
          <w:tcPr>
            <w:tcW w:w="660" w:type="dxa"/>
            <w:tcBorders>
              <w:top w:val="nil"/>
              <w:left w:val="nil"/>
              <w:bottom w:val="single" w:sz="4" w:space="0" w:color="auto"/>
              <w:right w:val="single" w:sz="4" w:space="0" w:color="auto"/>
            </w:tcBorders>
            <w:noWrap/>
            <w:vAlign w:val="bottom"/>
            <w:hideMark/>
          </w:tcPr>
          <w:p w14:paraId="5237DAF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EWH</w:t>
            </w:r>
          </w:p>
        </w:tc>
        <w:tc>
          <w:tcPr>
            <w:tcW w:w="480" w:type="dxa"/>
            <w:tcBorders>
              <w:top w:val="nil"/>
              <w:left w:val="nil"/>
              <w:bottom w:val="nil"/>
              <w:right w:val="nil"/>
            </w:tcBorders>
            <w:noWrap/>
            <w:vAlign w:val="bottom"/>
            <w:hideMark/>
          </w:tcPr>
          <w:p w14:paraId="43D9129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79AB46A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África do Sul</w:t>
            </w:r>
          </w:p>
        </w:tc>
        <w:tc>
          <w:tcPr>
            <w:tcW w:w="700" w:type="dxa"/>
            <w:tcBorders>
              <w:top w:val="nil"/>
              <w:left w:val="nil"/>
              <w:bottom w:val="single" w:sz="4" w:space="0" w:color="auto"/>
              <w:right w:val="single" w:sz="4" w:space="0" w:color="auto"/>
            </w:tcBorders>
            <w:noWrap/>
            <w:vAlign w:val="bottom"/>
            <w:hideMark/>
          </w:tcPr>
          <w:p w14:paraId="3AC1808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EZA</w:t>
            </w:r>
          </w:p>
        </w:tc>
      </w:tr>
      <w:tr w:rsidR="00952DBE" w:rsidRPr="00952DBE" w14:paraId="4DF857A1"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5F3ED54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Chile</w:t>
            </w:r>
          </w:p>
        </w:tc>
        <w:tc>
          <w:tcPr>
            <w:tcW w:w="660" w:type="dxa"/>
            <w:tcBorders>
              <w:top w:val="nil"/>
              <w:left w:val="nil"/>
              <w:bottom w:val="single" w:sz="4" w:space="0" w:color="auto"/>
              <w:right w:val="single" w:sz="4" w:space="0" w:color="auto"/>
            </w:tcBorders>
            <w:noWrap/>
            <w:vAlign w:val="bottom"/>
            <w:hideMark/>
          </w:tcPr>
          <w:p w14:paraId="0887EA8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ECH</w:t>
            </w:r>
          </w:p>
        </w:tc>
        <w:tc>
          <w:tcPr>
            <w:tcW w:w="480" w:type="dxa"/>
            <w:tcBorders>
              <w:top w:val="nil"/>
              <w:left w:val="nil"/>
              <w:bottom w:val="nil"/>
              <w:right w:val="nil"/>
            </w:tcBorders>
            <w:noWrap/>
            <w:vAlign w:val="bottom"/>
            <w:hideMark/>
          </w:tcPr>
          <w:p w14:paraId="613CA3D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6E67544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Itália</w:t>
            </w:r>
          </w:p>
        </w:tc>
        <w:tc>
          <w:tcPr>
            <w:tcW w:w="660" w:type="dxa"/>
            <w:tcBorders>
              <w:top w:val="nil"/>
              <w:left w:val="nil"/>
              <w:bottom w:val="single" w:sz="4" w:space="0" w:color="auto"/>
              <w:right w:val="single" w:sz="4" w:space="0" w:color="auto"/>
            </w:tcBorders>
            <w:noWrap/>
            <w:vAlign w:val="bottom"/>
            <w:hideMark/>
          </w:tcPr>
          <w:p w14:paraId="0D19702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EWI</w:t>
            </w:r>
          </w:p>
        </w:tc>
        <w:tc>
          <w:tcPr>
            <w:tcW w:w="480" w:type="dxa"/>
            <w:tcBorders>
              <w:top w:val="nil"/>
              <w:left w:val="nil"/>
              <w:bottom w:val="nil"/>
              <w:right w:val="nil"/>
            </w:tcBorders>
            <w:noWrap/>
            <w:vAlign w:val="bottom"/>
            <w:hideMark/>
          </w:tcPr>
          <w:p w14:paraId="23F056EB"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56434B8A"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Grécia</w:t>
            </w:r>
          </w:p>
        </w:tc>
        <w:tc>
          <w:tcPr>
            <w:tcW w:w="700" w:type="dxa"/>
            <w:tcBorders>
              <w:top w:val="nil"/>
              <w:left w:val="nil"/>
              <w:bottom w:val="single" w:sz="4" w:space="0" w:color="auto"/>
              <w:right w:val="single" w:sz="4" w:space="0" w:color="auto"/>
            </w:tcBorders>
            <w:noWrap/>
            <w:vAlign w:val="bottom"/>
            <w:hideMark/>
          </w:tcPr>
          <w:p w14:paraId="6EB5C2A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GREK</w:t>
            </w:r>
          </w:p>
        </w:tc>
      </w:tr>
      <w:tr w:rsidR="00952DBE" w:rsidRPr="00952DBE" w14:paraId="5AAC5A84"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4B469DB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Dinamarca</w:t>
            </w:r>
          </w:p>
        </w:tc>
        <w:tc>
          <w:tcPr>
            <w:tcW w:w="660" w:type="dxa"/>
            <w:tcBorders>
              <w:top w:val="nil"/>
              <w:left w:val="nil"/>
              <w:bottom w:val="single" w:sz="4" w:space="0" w:color="auto"/>
              <w:right w:val="single" w:sz="4" w:space="0" w:color="auto"/>
            </w:tcBorders>
            <w:noWrap/>
            <w:vAlign w:val="bottom"/>
            <w:hideMark/>
          </w:tcPr>
          <w:p w14:paraId="6F1D7AB3"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EDEN</w:t>
            </w:r>
          </w:p>
        </w:tc>
        <w:tc>
          <w:tcPr>
            <w:tcW w:w="480" w:type="dxa"/>
            <w:tcBorders>
              <w:top w:val="nil"/>
              <w:left w:val="nil"/>
              <w:bottom w:val="nil"/>
              <w:right w:val="nil"/>
            </w:tcBorders>
            <w:noWrap/>
            <w:vAlign w:val="bottom"/>
            <w:hideMark/>
          </w:tcPr>
          <w:p w14:paraId="58F92394"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68D6DD0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Japão</w:t>
            </w:r>
          </w:p>
        </w:tc>
        <w:tc>
          <w:tcPr>
            <w:tcW w:w="660" w:type="dxa"/>
            <w:tcBorders>
              <w:top w:val="nil"/>
              <w:left w:val="nil"/>
              <w:bottom w:val="single" w:sz="4" w:space="0" w:color="auto"/>
              <w:right w:val="single" w:sz="4" w:space="0" w:color="auto"/>
            </w:tcBorders>
            <w:noWrap/>
            <w:vAlign w:val="bottom"/>
            <w:hideMark/>
          </w:tcPr>
          <w:p w14:paraId="15EA1D7A"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EWJ</w:t>
            </w:r>
          </w:p>
        </w:tc>
        <w:tc>
          <w:tcPr>
            <w:tcW w:w="480" w:type="dxa"/>
            <w:tcBorders>
              <w:top w:val="nil"/>
              <w:left w:val="nil"/>
              <w:bottom w:val="nil"/>
              <w:right w:val="nil"/>
            </w:tcBorders>
            <w:noWrap/>
            <w:vAlign w:val="bottom"/>
            <w:hideMark/>
          </w:tcPr>
          <w:p w14:paraId="5179932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40103EF3"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Índia</w:t>
            </w:r>
          </w:p>
        </w:tc>
        <w:tc>
          <w:tcPr>
            <w:tcW w:w="700" w:type="dxa"/>
            <w:tcBorders>
              <w:top w:val="nil"/>
              <w:left w:val="nil"/>
              <w:bottom w:val="single" w:sz="4" w:space="0" w:color="auto"/>
              <w:right w:val="single" w:sz="4" w:space="0" w:color="auto"/>
            </w:tcBorders>
            <w:noWrap/>
            <w:vAlign w:val="bottom"/>
            <w:hideMark/>
          </w:tcPr>
          <w:p w14:paraId="4A4BD80D"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INDA</w:t>
            </w:r>
          </w:p>
        </w:tc>
      </w:tr>
      <w:tr w:rsidR="00952DBE" w:rsidRPr="00952DBE" w14:paraId="35B25649"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2119541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Finlândia</w:t>
            </w:r>
          </w:p>
        </w:tc>
        <w:tc>
          <w:tcPr>
            <w:tcW w:w="660" w:type="dxa"/>
            <w:tcBorders>
              <w:top w:val="nil"/>
              <w:left w:val="nil"/>
              <w:bottom w:val="single" w:sz="4" w:space="0" w:color="auto"/>
              <w:right w:val="single" w:sz="4" w:space="0" w:color="auto"/>
            </w:tcBorders>
            <w:noWrap/>
            <w:vAlign w:val="bottom"/>
            <w:hideMark/>
          </w:tcPr>
          <w:p w14:paraId="63BBE3E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EFNL</w:t>
            </w:r>
          </w:p>
        </w:tc>
        <w:tc>
          <w:tcPr>
            <w:tcW w:w="480" w:type="dxa"/>
            <w:tcBorders>
              <w:top w:val="nil"/>
              <w:left w:val="nil"/>
              <w:bottom w:val="nil"/>
              <w:right w:val="nil"/>
            </w:tcBorders>
            <w:noWrap/>
            <w:vAlign w:val="bottom"/>
            <w:hideMark/>
          </w:tcPr>
          <w:p w14:paraId="3A22DDD3"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66A4B76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Belgica</w:t>
            </w:r>
          </w:p>
        </w:tc>
        <w:tc>
          <w:tcPr>
            <w:tcW w:w="660" w:type="dxa"/>
            <w:tcBorders>
              <w:top w:val="nil"/>
              <w:left w:val="nil"/>
              <w:bottom w:val="single" w:sz="4" w:space="0" w:color="auto"/>
              <w:right w:val="single" w:sz="4" w:space="0" w:color="auto"/>
            </w:tcBorders>
            <w:noWrap/>
            <w:vAlign w:val="bottom"/>
            <w:hideMark/>
          </w:tcPr>
          <w:p w14:paraId="581BC1E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EWK</w:t>
            </w:r>
          </w:p>
        </w:tc>
        <w:tc>
          <w:tcPr>
            <w:tcW w:w="480" w:type="dxa"/>
            <w:tcBorders>
              <w:top w:val="nil"/>
              <w:left w:val="nil"/>
              <w:bottom w:val="nil"/>
              <w:right w:val="nil"/>
            </w:tcBorders>
            <w:noWrap/>
            <w:vAlign w:val="bottom"/>
            <w:hideMark/>
          </w:tcPr>
          <w:p w14:paraId="3BEAA79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342B27B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Arábia Saudita</w:t>
            </w:r>
          </w:p>
        </w:tc>
        <w:tc>
          <w:tcPr>
            <w:tcW w:w="700" w:type="dxa"/>
            <w:tcBorders>
              <w:top w:val="nil"/>
              <w:left w:val="nil"/>
              <w:bottom w:val="single" w:sz="4" w:space="0" w:color="auto"/>
              <w:right w:val="single" w:sz="4" w:space="0" w:color="auto"/>
            </w:tcBorders>
            <w:noWrap/>
            <w:vAlign w:val="bottom"/>
            <w:hideMark/>
          </w:tcPr>
          <w:p w14:paraId="769E65B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KSA</w:t>
            </w:r>
          </w:p>
        </w:tc>
      </w:tr>
      <w:tr w:rsidR="00952DBE" w:rsidRPr="00952DBE" w14:paraId="52CA333E"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15A4F8C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Indonésia</w:t>
            </w:r>
          </w:p>
        </w:tc>
        <w:tc>
          <w:tcPr>
            <w:tcW w:w="660" w:type="dxa"/>
            <w:tcBorders>
              <w:top w:val="nil"/>
              <w:left w:val="nil"/>
              <w:bottom w:val="single" w:sz="4" w:space="0" w:color="auto"/>
              <w:right w:val="single" w:sz="4" w:space="0" w:color="auto"/>
            </w:tcBorders>
            <w:noWrap/>
            <w:vAlign w:val="bottom"/>
            <w:hideMark/>
          </w:tcPr>
          <w:p w14:paraId="74E89DF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EIDO</w:t>
            </w:r>
          </w:p>
        </w:tc>
        <w:tc>
          <w:tcPr>
            <w:tcW w:w="480" w:type="dxa"/>
            <w:tcBorders>
              <w:top w:val="nil"/>
              <w:left w:val="nil"/>
              <w:bottom w:val="nil"/>
              <w:right w:val="nil"/>
            </w:tcBorders>
            <w:noWrap/>
            <w:vAlign w:val="bottom"/>
            <w:hideMark/>
          </w:tcPr>
          <w:p w14:paraId="1B01FFDA"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36C11B4C"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Suíça</w:t>
            </w:r>
          </w:p>
        </w:tc>
        <w:tc>
          <w:tcPr>
            <w:tcW w:w="660" w:type="dxa"/>
            <w:tcBorders>
              <w:top w:val="nil"/>
              <w:left w:val="nil"/>
              <w:bottom w:val="single" w:sz="4" w:space="0" w:color="auto"/>
              <w:right w:val="single" w:sz="4" w:space="0" w:color="auto"/>
            </w:tcBorders>
            <w:noWrap/>
            <w:vAlign w:val="bottom"/>
            <w:hideMark/>
          </w:tcPr>
          <w:p w14:paraId="294108E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EWL</w:t>
            </w:r>
          </w:p>
        </w:tc>
        <w:tc>
          <w:tcPr>
            <w:tcW w:w="480" w:type="dxa"/>
            <w:tcBorders>
              <w:top w:val="nil"/>
              <w:left w:val="nil"/>
              <w:bottom w:val="nil"/>
              <w:right w:val="nil"/>
            </w:tcBorders>
            <w:noWrap/>
            <w:vAlign w:val="bottom"/>
            <w:hideMark/>
          </w:tcPr>
          <w:p w14:paraId="3F004F8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09F7C94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China</w:t>
            </w:r>
          </w:p>
        </w:tc>
        <w:tc>
          <w:tcPr>
            <w:tcW w:w="700" w:type="dxa"/>
            <w:tcBorders>
              <w:top w:val="nil"/>
              <w:left w:val="nil"/>
              <w:bottom w:val="single" w:sz="4" w:space="0" w:color="auto"/>
              <w:right w:val="single" w:sz="4" w:space="0" w:color="auto"/>
            </w:tcBorders>
            <w:noWrap/>
            <w:vAlign w:val="bottom"/>
            <w:hideMark/>
          </w:tcPr>
          <w:p w14:paraId="01F29852"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MCHI</w:t>
            </w:r>
          </w:p>
        </w:tc>
      </w:tr>
      <w:tr w:rsidR="00952DBE" w:rsidRPr="00952DBE" w14:paraId="47048583"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321CA6D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Irlanda</w:t>
            </w:r>
          </w:p>
        </w:tc>
        <w:tc>
          <w:tcPr>
            <w:tcW w:w="660" w:type="dxa"/>
            <w:tcBorders>
              <w:top w:val="nil"/>
              <w:left w:val="nil"/>
              <w:bottom w:val="single" w:sz="4" w:space="0" w:color="auto"/>
              <w:right w:val="single" w:sz="4" w:space="0" w:color="auto"/>
            </w:tcBorders>
            <w:noWrap/>
            <w:vAlign w:val="bottom"/>
            <w:hideMark/>
          </w:tcPr>
          <w:p w14:paraId="103A7F3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EIRL</w:t>
            </w:r>
          </w:p>
        </w:tc>
        <w:tc>
          <w:tcPr>
            <w:tcW w:w="480" w:type="dxa"/>
            <w:tcBorders>
              <w:top w:val="nil"/>
              <w:left w:val="nil"/>
              <w:bottom w:val="nil"/>
              <w:right w:val="nil"/>
            </w:tcBorders>
            <w:noWrap/>
            <w:vAlign w:val="bottom"/>
            <w:hideMark/>
          </w:tcPr>
          <w:p w14:paraId="2F2F68C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48D26CA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Malásia</w:t>
            </w:r>
          </w:p>
        </w:tc>
        <w:tc>
          <w:tcPr>
            <w:tcW w:w="660" w:type="dxa"/>
            <w:tcBorders>
              <w:top w:val="nil"/>
              <w:left w:val="nil"/>
              <w:bottom w:val="single" w:sz="4" w:space="0" w:color="auto"/>
              <w:right w:val="single" w:sz="4" w:space="0" w:color="auto"/>
            </w:tcBorders>
            <w:noWrap/>
            <w:vAlign w:val="bottom"/>
            <w:hideMark/>
          </w:tcPr>
          <w:p w14:paraId="4BA054BC"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EWM</w:t>
            </w:r>
          </w:p>
        </w:tc>
        <w:tc>
          <w:tcPr>
            <w:tcW w:w="480" w:type="dxa"/>
            <w:tcBorders>
              <w:top w:val="nil"/>
              <w:left w:val="nil"/>
              <w:bottom w:val="nil"/>
              <w:right w:val="nil"/>
            </w:tcBorders>
            <w:noWrap/>
            <w:vAlign w:val="bottom"/>
            <w:hideMark/>
          </w:tcPr>
          <w:p w14:paraId="60DF7DF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78F1875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Noruega</w:t>
            </w:r>
          </w:p>
        </w:tc>
        <w:tc>
          <w:tcPr>
            <w:tcW w:w="700" w:type="dxa"/>
            <w:tcBorders>
              <w:top w:val="nil"/>
              <w:left w:val="nil"/>
              <w:bottom w:val="single" w:sz="4" w:space="0" w:color="auto"/>
              <w:right w:val="single" w:sz="4" w:space="0" w:color="auto"/>
            </w:tcBorders>
            <w:noWrap/>
            <w:vAlign w:val="bottom"/>
            <w:hideMark/>
          </w:tcPr>
          <w:p w14:paraId="64E1D71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NORW</w:t>
            </w:r>
          </w:p>
        </w:tc>
      </w:tr>
      <w:tr w:rsidR="00952DBE" w:rsidRPr="00952DBE" w14:paraId="28344090"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1382C05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Israel</w:t>
            </w:r>
          </w:p>
        </w:tc>
        <w:tc>
          <w:tcPr>
            <w:tcW w:w="660" w:type="dxa"/>
            <w:tcBorders>
              <w:top w:val="nil"/>
              <w:left w:val="nil"/>
              <w:bottom w:val="single" w:sz="4" w:space="0" w:color="auto"/>
              <w:right w:val="single" w:sz="4" w:space="0" w:color="auto"/>
            </w:tcBorders>
            <w:noWrap/>
            <w:vAlign w:val="bottom"/>
            <w:hideMark/>
          </w:tcPr>
          <w:p w14:paraId="1A1A9E7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EIS</w:t>
            </w:r>
          </w:p>
        </w:tc>
        <w:tc>
          <w:tcPr>
            <w:tcW w:w="480" w:type="dxa"/>
            <w:tcBorders>
              <w:top w:val="nil"/>
              <w:left w:val="nil"/>
              <w:bottom w:val="nil"/>
              <w:right w:val="nil"/>
            </w:tcBorders>
            <w:noWrap/>
            <w:vAlign w:val="bottom"/>
            <w:hideMark/>
          </w:tcPr>
          <w:p w14:paraId="0A3DACD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7B1CB91A"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Holanda</w:t>
            </w:r>
          </w:p>
        </w:tc>
        <w:tc>
          <w:tcPr>
            <w:tcW w:w="660" w:type="dxa"/>
            <w:tcBorders>
              <w:top w:val="nil"/>
              <w:left w:val="nil"/>
              <w:bottom w:val="single" w:sz="4" w:space="0" w:color="auto"/>
              <w:right w:val="single" w:sz="4" w:space="0" w:color="auto"/>
            </w:tcBorders>
            <w:noWrap/>
            <w:vAlign w:val="bottom"/>
            <w:hideMark/>
          </w:tcPr>
          <w:p w14:paraId="17F6041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EWN</w:t>
            </w:r>
          </w:p>
        </w:tc>
        <w:tc>
          <w:tcPr>
            <w:tcW w:w="480" w:type="dxa"/>
            <w:tcBorders>
              <w:top w:val="nil"/>
              <w:left w:val="nil"/>
              <w:bottom w:val="nil"/>
              <w:right w:val="nil"/>
            </w:tcBorders>
            <w:noWrap/>
            <w:vAlign w:val="bottom"/>
            <w:hideMark/>
          </w:tcPr>
          <w:p w14:paraId="5407EB0D"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4ED145DC"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Catar</w:t>
            </w:r>
          </w:p>
        </w:tc>
        <w:tc>
          <w:tcPr>
            <w:tcW w:w="700" w:type="dxa"/>
            <w:tcBorders>
              <w:top w:val="nil"/>
              <w:left w:val="nil"/>
              <w:bottom w:val="single" w:sz="4" w:space="0" w:color="auto"/>
              <w:right w:val="single" w:sz="4" w:space="0" w:color="auto"/>
            </w:tcBorders>
            <w:noWrap/>
            <w:vAlign w:val="bottom"/>
            <w:hideMark/>
          </w:tcPr>
          <w:p w14:paraId="4D71F79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QAT</w:t>
            </w:r>
          </w:p>
        </w:tc>
      </w:tr>
      <w:tr w:rsidR="00952DBE" w:rsidRPr="00952DBE" w14:paraId="0894BAE9"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779D8C9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Nova Zelândia</w:t>
            </w:r>
          </w:p>
        </w:tc>
        <w:tc>
          <w:tcPr>
            <w:tcW w:w="660" w:type="dxa"/>
            <w:tcBorders>
              <w:top w:val="nil"/>
              <w:left w:val="nil"/>
              <w:bottom w:val="single" w:sz="4" w:space="0" w:color="auto"/>
              <w:right w:val="single" w:sz="4" w:space="0" w:color="auto"/>
            </w:tcBorders>
            <w:noWrap/>
            <w:vAlign w:val="bottom"/>
            <w:hideMark/>
          </w:tcPr>
          <w:p w14:paraId="722719C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ENZL</w:t>
            </w:r>
          </w:p>
        </w:tc>
        <w:tc>
          <w:tcPr>
            <w:tcW w:w="480" w:type="dxa"/>
            <w:tcBorders>
              <w:top w:val="nil"/>
              <w:left w:val="nil"/>
              <w:bottom w:val="nil"/>
              <w:right w:val="nil"/>
            </w:tcBorders>
            <w:noWrap/>
            <w:vAlign w:val="bottom"/>
            <w:hideMark/>
          </w:tcPr>
          <w:p w14:paraId="6114C5A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74EE7F5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Austria</w:t>
            </w:r>
          </w:p>
        </w:tc>
        <w:tc>
          <w:tcPr>
            <w:tcW w:w="660" w:type="dxa"/>
            <w:tcBorders>
              <w:top w:val="nil"/>
              <w:left w:val="nil"/>
              <w:bottom w:val="single" w:sz="4" w:space="0" w:color="auto"/>
              <w:right w:val="single" w:sz="4" w:space="0" w:color="auto"/>
            </w:tcBorders>
            <w:noWrap/>
            <w:vAlign w:val="bottom"/>
            <w:hideMark/>
          </w:tcPr>
          <w:p w14:paraId="7C97FBE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EWO</w:t>
            </w:r>
          </w:p>
        </w:tc>
        <w:tc>
          <w:tcPr>
            <w:tcW w:w="480" w:type="dxa"/>
            <w:tcBorders>
              <w:top w:val="nil"/>
              <w:left w:val="nil"/>
              <w:bottom w:val="nil"/>
              <w:right w:val="nil"/>
            </w:tcBorders>
            <w:noWrap/>
            <w:vAlign w:val="bottom"/>
            <w:hideMark/>
          </w:tcPr>
          <w:p w14:paraId="6DA6C77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323F339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EUA</w:t>
            </w:r>
          </w:p>
        </w:tc>
        <w:tc>
          <w:tcPr>
            <w:tcW w:w="700" w:type="dxa"/>
            <w:tcBorders>
              <w:top w:val="nil"/>
              <w:left w:val="nil"/>
              <w:bottom w:val="single" w:sz="4" w:space="0" w:color="auto"/>
              <w:right w:val="single" w:sz="4" w:space="0" w:color="auto"/>
            </w:tcBorders>
            <w:noWrap/>
            <w:vAlign w:val="bottom"/>
            <w:hideMark/>
          </w:tcPr>
          <w:p w14:paraId="3DABF2F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SPY</w:t>
            </w:r>
          </w:p>
        </w:tc>
      </w:tr>
      <w:tr w:rsidR="00952DBE" w:rsidRPr="00952DBE" w14:paraId="4BEE7A9F"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4CD3339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Filipinas</w:t>
            </w:r>
          </w:p>
        </w:tc>
        <w:tc>
          <w:tcPr>
            <w:tcW w:w="660" w:type="dxa"/>
            <w:tcBorders>
              <w:top w:val="nil"/>
              <w:left w:val="nil"/>
              <w:bottom w:val="single" w:sz="4" w:space="0" w:color="auto"/>
              <w:right w:val="single" w:sz="4" w:space="0" w:color="auto"/>
            </w:tcBorders>
            <w:noWrap/>
            <w:vAlign w:val="bottom"/>
            <w:hideMark/>
          </w:tcPr>
          <w:p w14:paraId="5D6E20FC"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EPHE</w:t>
            </w:r>
          </w:p>
        </w:tc>
        <w:tc>
          <w:tcPr>
            <w:tcW w:w="480" w:type="dxa"/>
            <w:tcBorders>
              <w:top w:val="nil"/>
              <w:left w:val="nil"/>
              <w:bottom w:val="nil"/>
              <w:right w:val="nil"/>
            </w:tcBorders>
            <w:noWrap/>
            <w:vAlign w:val="bottom"/>
            <w:hideMark/>
          </w:tcPr>
          <w:p w14:paraId="64F43F2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0928CD8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Espanha</w:t>
            </w:r>
          </w:p>
        </w:tc>
        <w:tc>
          <w:tcPr>
            <w:tcW w:w="660" w:type="dxa"/>
            <w:tcBorders>
              <w:top w:val="nil"/>
              <w:left w:val="nil"/>
              <w:bottom w:val="single" w:sz="4" w:space="0" w:color="auto"/>
              <w:right w:val="single" w:sz="4" w:space="0" w:color="auto"/>
            </w:tcBorders>
            <w:noWrap/>
            <w:vAlign w:val="bottom"/>
            <w:hideMark/>
          </w:tcPr>
          <w:p w14:paraId="7D61C3FA"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EWP</w:t>
            </w:r>
          </w:p>
        </w:tc>
        <w:tc>
          <w:tcPr>
            <w:tcW w:w="480" w:type="dxa"/>
            <w:tcBorders>
              <w:top w:val="nil"/>
              <w:left w:val="nil"/>
              <w:bottom w:val="nil"/>
              <w:right w:val="nil"/>
            </w:tcBorders>
            <w:noWrap/>
            <w:vAlign w:val="bottom"/>
            <w:hideMark/>
          </w:tcPr>
          <w:p w14:paraId="2AA84B6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1561726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Tailândia</w:t>
            </w:r>
          </w:p>
        </w:tc>
        <w:tc>
          <w:tcPr>
            <w:tcW w:w="700" w:type="dxa"/>
            <w:tcBorders>
              <w:top w:val="nil"/>
              <w:left w:val="nil"/>
              <w:bottom w:val="single" w:sz="4" w:space="0" w:color="auto"/>
              <w:right w:val="single" w:sz="4" w:space="0" w:color="auto"/>
            </w:tcBorders>
            <w:noWrap/>
            <w:vAlign w:val="bottom"/>
            <w:hideMark/>
          </w:tcPr>
          <w:p w14:paraId="566DC36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THD</w:t>
            </w:r>
          </w:p>
        </w:tc>
      </w:tr>
      <w:tr w:rsidR="00952DBE" w:rsidRPr="00952DBE" w14:paraId="58568A3F"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16E2F9A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Polônia</w:t>
            </w:r>
          </w:p>
        </w:tc>
        <w:tc>
          <w:tcPr>
            <w:tcW w:w="660" w:type="dxa"/>
            <w:tcBorders>
              <w:top w:val="nil"/>
              <w:left w:val="nil"/>
              <w:bottom w:val="single" w:sz="4" w:space="0" w:color="auto"/>
              <w:right w:val="single" w:sz="4" w:space="0" w:color="auto"/>
            </w:tcBorders>
            <w:noWrap/>
            <w:vAlign w:val="bottom"/>
            <w:hideMark/>
          </w:tcPr>
          <w:p w14:paraId="1C9172D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EPOL</w:t>
            </w:r>
          </w:p>
        </w:tc>
        <w:tc>
          <w:tcPr>
            <w:tcW w:w="480" w:type="dxa"/>
            <w:tcBorders>
              <w:top w:val="nil"/>
              <w:left w:val="nil"/>
              <w:bottom w:val="nil"/>
              <w:right w:val="nil"/>
            </w:tcBorders>
            <w:noWrap/>
            <w:vAlign w:val="bottom"/>
            <w:hideMark/>
          </w:tcPr>
          <w:p w14:paraId="12EF416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7FADC99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França</w:t>
            </w:r>
          </w:p>
        </w:tc>
        <w:tc>
          <w:tcPr>
            <w:tcW w:w="660" w:type="dxa"/>
            <w:tcBorders>
              <w:top w:val="nil"/>
              <w:left w:val="nil"/>
              <w:bottom w:val="single" w:sz="4" w:space="0" w:color="auto"/>
              <w:right w:val="single" w:sz="4" w:space="0" w:color="auto"/>
            </w:tcBorders>
            <w:noWrap/>
            <w:vAlign w:val="bottom"/>
            <w:hideMark/>
          </w:tcPr>
          <w:p w14:paraId="491B7B4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EWQ</w:t>
            </w:r>
          </w:p>
        </w:tc>
        <w:tc>
          <w:tcPr>
            <w:tcW w:w="480" w:type="dxa"/>
            <w:tcBorders>
              <w:top w:val="nil"/>
              <w:left w:val="nil"/>
              <w:bottom w:val="nil"/>
              <w:right w:val="nil"/>
            </w:tcBorders>
            <w:noWrap/>
            <w:vAlign w:val="bottom"/>
            <w:hideMark/>
          </w:tcPr>
          <w:p w14:paraId="3E5508F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5F45D21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Turquia</w:t>
            </w:r>
          </w:p>
        </w:tc>
        <w:tc>
          <w:tcPr>
            <w:tcW w:w="700" w:type="dxa"/>
            <w:tcBorders>
              <w:top w:val="nil"/>
              <w:left w:val="nil"/>
              <w:bottom w:val="single" w:sz="4" w:space="0" w:color="auto"/>
              <w:right w:val="single" w:sz="4" w:space="0" w:color="auto"/>
            </w:tcBorders>
            <w:noWrap/>
            <w:vAlign w:val="bottom"/>
            <w:hideMark/>
          </w:tcPr>
          <w:p w14:paraId="14994E1E"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TUR</w:t>
            </w:r>
          </w:p>
        </w:tc>
      </w:tr>
      <w:tr w:rsidR="00952DBE" w:rsidRPr="00952DBE" w14:paraId="7E552657"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0B02795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Peru</w:t>
            </w:r>
          </w:p>
        </w:tc>
        <w:tc>
          <w:tcPr>
            <w:tcW w:w="660" w:type="dxa"/>
            <w:tcBorders>
              <w:top w:val="nil"/>
              <w:left w:val="nil"/>
              <w:bottom w:val="single" w:sz="4" w:space="0" w:color="auto"/>
              <w:right w:val="single" w:sz="4" w:space="0" w:color="auto"/>
            </w:tcBorders>
            <w:noWrap/>
            <w:vAlign w:val="bottom"/>
            <w:hideMark/>
          </w:tcPr>
          <w:p w14:paraId="78F4D783"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EPU</w:t>
            </w:r>
          </w:p>
        </w:tc>
        <w:tc>
          <w:tcPr>
            <w:tcW w:w="480" w:type="dxa"/>
            <w:tcBorders>
              <w:top w:val="nil"/>
              <w:left w:val="nil"/>
              <w:bottom w:val="nil"/>
              <w:right w:val="nil"/>
            </w:tcBorders>
            <w:noWrap/>
            <w:vAlign w:val="bottom"/>
            <w:hideMark/>
          </w:tcPr>
          <w:p w14:paraId="63FCBA8B"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718D4D5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Singapura</w:t>
            </w:r>
          </w:p>
        </w:tc>
        <w:tc>
          <w:tcPr>
            <w:tcW w:w="660" w:type="dxa"/>
            <w:tcBorders>
              <w:top w:val="nil"/>
              <w:left w:val="nil"/>
              <w:bottom w:val="single" w:sz="4" w:space="0" w:color="auto"/>
              <w:right w:val="single" w:sz="4" w:space="0" w:color="auto"/>
            </w:tcBorders>
            <w:noWrap/>
            <w:vAlign w:val="bottom"/>
            <w:hideMark/>
          </w:tcPr>
          <w:p w14:paraId="54DE1E6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EWS</w:t>
            </w:r>
          </w:p>
        </w:tc>
        <w:tc>
          <w:tcPr>
            <w:tcW w:w="480" w:type="dxa"/>
            <w:tcBorders>
              <w:top w:val="nil"/>
              <w:left w:val="nil"/>
              <w:bottom w:val="nil"/>
              <w:right w:val="nil"/>
            </w:tcBorders>
            <w:noWrap/>
            <w:vAlign w:val="bottom"/>
            <w:hideMark/>
          </w:tcPr>
          <w:p w14:paraId="6841875F"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34F33090"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Emirados Árabes Unidos</w:t>
            </w:r>
          </w:p>
        </w:tc>
        <w:tc>
          <w:tcPr>
            <w:tcW w:w="700" w:type="dxa"/>
            <w:tcBorders>
              <w:top w:val="nil"/>
              <w:left w:val="nil"/>
              <w:bottom w:val="single" w:sz="4" w:space="0" w:color="auto"/>
              <w:right w:val="single" w:sz="4" w:space="0" w:color="auto"/>
            </w:tcBorders>
            <w:noWrap/>
            <w:vAlign w:val="bottom"/>
            <w:hideMark/>
          </w:tcPr>
          <w:p w14:paraId="709AD11D"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UAE</w:t>
            </w:r>
          </w:p>
        </w:tc>
      </w:tr>
      <w:tr w:rsidR="00952DBE" w:rsidRPr="00952DBE" w14:paraId="7B589BAF"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23ACCB86"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Austrália</w:t>
            </w:r>
          </w:p>
        </w:tc>
        <w:tc>
          <w:tcPr>
            <w:tcW w:w="660" w:type="dxa"/>
            <w:tcBorders>
              <w:top w:val="nil"/>
              <w:left w:val="nil"/>
              <w:bottom w:val="single" w:sz="4" w:space="0" w:color="auto"/>
              <w:right w:val="single" w:sz="4" w:space="0" w:color="auto"/>
            </w:tcBorders>
            <w:noWrap/>
            <w:vAlign w:val="bottom"/>
            <w:hideMark/>
          </w:tcPr>
          <w:p w14:paraId="3708872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EWA</w:t>
            </w:r>
          </w:p>
        </w:tc>
        <w:tc>
          <w:tcPr>
            <w:tcW w:w="480" w:type="dxa"/>
            <w:tcBorders>
              <w:top w:val="nil"/>
              <w:left w:val="nil"/>
              <w:bottom w:val="nil"/>
              <w:right w:val="nil"/>
            </w:tcBorders>
            <w:noWrap/>
            <w:vAlign w:val="bottom"/>
            <w:hideMark/>
          </w:tcPr>
          <w:p w14:paraId="5D35DB34"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76273347"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Taiwan</w:t>
            </w:r>
          </w:p>
        </w:tc>
        <w:tc>
          <w:tcPr>
            <w:tcW w:w="660" w:type="dxa"/>
            <w:tcBorders>
              <w:top w:val="nil"/>
              <w:left w:val="nil"/>
              <w:bottom w:val="single" w:sz="4" w:space="0" w:color="auto"/>
              <w:right w:val="single" w:sz="4" w:space="0" w:color="auto"/>
            </w:tcBorders>
            <w:noWrap/>
            <w:vAlign w:val="bottom"/>
            <w:hideMark/>
          </w:tcPr>
          <w:p w14:paraId="58E71F61"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EWT</w:t>
            </w:r>
          </w:p>
        </w:tc>
        <w:tc>
          <w:tcPr>
            <w:tcW w:w="480" w:type="dxa"/>
            <w:tcBorders>
              <w:top w:val="nil"/>
              <w:left w:val="nil"/>
              <w:bottom w:val="nil"/>
              <w:right w:val="nil"/>
            </w:tcBorders>
            <w:noWrap/>
            <w:vAlign w:val="bottom"/>
            <w:hideMark/>
          </w:tcPr>
          <w:p w14:paraId="35ABBE5B"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18B2750A"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Vietnã</w:t>
            </w:r>
          </w:p>
        </w:tc>
        <w:tc>
          <w:tcPr>
            <w:tcW w:w="700" w:type="dxa"/>
            <w:tcBorders>
              <w:top w:val="nil"/>
              <w:left w:val="nil"/>
              <w:bottom w:val="single" w:sz="4" w:space="0" w:color="auto"/>
              <w:right w:val="single" w:sz="4" w:space="0" w:color="auto"/>
            </w:tcBorders>
            <w:noWrap/>
            <w:vAlign w:val="bottom"/>
            <w:hideMark/>
          </w:tcPr>
          <w:p w14:paraId="1140BB2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VNM</w:t>
            </w:r>
          </w:p>
        </w:tc>
      </w:tr>
      <w:tr w:rsidR="00952DBE" w:rsidRPr="00952DBE" w14:paraId="7FAE19D1"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1159849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Canadá</w:t>
            </w:r>
          </w:p>
        </w:tc>
        <w:tc>
          <w:tcPr>
            <w:tcW w:w="660" w:type="dxa"/>
            <w:tcBorders>
              <w:top w:val="nil"/>
              <w:left w:val="nil"/>
              <w:bottom w:val="single" w:sz="4" w:space="0" w:color="auto"/>
              <w:right w:val="single" w:sz="4" w:space="0" w:color="auto"/>
            </w:tcBorders>
            <w:noWrap/>
            <w:vAlign w:val="bottom"/>
            <w:hideMark/>
          </w:tcPr>
          <w:p w14:paraId="3240134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EWC</w:t>
            </w:r>
          </w:p>
        </w:tc>
        <w:tc>
          <w:tcPr>
            <w:tcW w:w="480" w:type="dxa"/>
            <w:tcBorders>
              <w:top w:val="nil"/>
              <w:left w:val="nil"/>
              <w:bottom w:val="nil"/>
              <w:right w:val="nil"/>
            </w:tcBorders>
            <w:noWrap/>
            <w:vAlign w:val="bottom"/>
            <w:hideMark/>
          </w:tcPr>
          <w:p w14:paraId="5F30921D"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65623E0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Reino Unido</w:t>
            </w:r>
          </w:p>
        </w:tc>
        <w:tc>
          <w:tcPr>
            <w:tcW w:w="660" w:type="dxa"/>
            <w:tcBorders>
              <w:top w:val="nil"/>
              <w:left w:val="nil"/>
              <w:bottom w:val="single" w:sz="4" w:space="0" w:color="auto"/>
              <w:right w:val="single" w:sz="4" w:space="0" w:color="auto"/>
            </w:tcBorders>
            <w:noWrap/>
            <w:vAlign w:val="bottom"/>
            <w:hideMark/>
          </w:tcPr>
          <w:p w14:paraId="04F23DB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EWU</w:t>
            </w:r>
          </w:p>
        </w:tc>
        <w:tc>
          <w:tcPr>
            <w:tcW w:w="480" w:type="dxa"/>
            <w:tcBorders>
              <w:top w:val="nil"/>
              <w:left w:val="nil"/>
              <w:bottom w:val="nil"/>
              <w:right w:val="nil"/>
            </w:tcBorders>
            <w:noWrap/>
            <w:vAlign w:val="bottom"/>
            <w:hideMark/>
          </w:tcPr>
          <w:p w14:paraId="5C35EDD8"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nil"/>
              <w:bottom w:val="nil"/>
              <w:right w:val="nil"/>
            </w:tcBorders>
            <w:noWrap/>
            <w:vAlign w:val="bottom"/>
            <w:hideMark/>
          </w:tcPr>
          <w:p w14:paraId="1BF24DF0" w14:textId="77777777" w:rsidR="00952DBE" w:rsidRPr="00952DBE" w:rsidRDefault="00952DBE" w:rsidP="00952DBE">
            <w:pPr>
              <w:spacing w:after="0" w:line="240" w:lineRule="auto"/>
              <w:rPr>
                <w:rFonts w:ascii="Times New Roman" w:eastAsia="Times New Roman" w:hAnsi="Times New Roman" w:cs="Times New Roman"/>
                <w:kern w:val="0"/>
                <w:sz w:val="20"/>
                <w:szCs w:val="20"/>
                <w:lang w:eastAsia="pt-BR"/>
                <w14:ligatures w14:val="none"/>
              </w:rPr>
            </w:pPr>
          </w:p>
        </w:tc>
        <w:tc>
          <w:tcPr>
            <w:tcW w:w="700" w:type="dxa"/>
            <w:tcBorders>
              <w:top w:val="nil"/>
              <w:left w:val="nil"/>
              <w:bottom w:val="nil"/>
              <w:right w:val="nil"/>
            </w:tcBorders>
            <w:noWrap/>
            <w:vAlign w:val="bottom"/>
            <w:hideMark/>
          </w:tcPr>
          <w:p w14:paraId="39A4BB31" w14:textId="77777777" w:rsidR="00952DBE" w:rsidRPr="00952DBE" w:rsidRDefault="00952DBE" w:rsidP="00952DBE">
            <w:pPr>
              <w:spacing w:after="0" w:line="240" w:lineRule="auto"/>
              <w:rPr>
                <w:rFonts w:ascii="Times New Roman" w:eastAsia="Times New Roman" w:hAnsi="Times New Roman" w:cs="Times New Roman"/>
                <w:kern w:val="0"/>
                <w:sz w:val="20"/>
                <w:szCs w:val="20"/>
                <w:lang w:eastAsia="pt-BR"/>
                <w14:ligatures w14:val="none"/>
              </w:rPr>
            </w:pPr>
          </w:p>
        </w:tc>
      </w:tr>
      <w:tr w:rsidR="00952DBE" w:rsidRPr="00952DBE" w14:paraId="6C4C283A" w14:textId="77777777" w:rsidTr="00952DBE">
        <w:trPr>
          <w:trHeight w:val="288"/>
        </w:trPr>
        <w:tc>
          <w:tcPr>
            <w:tcW w:w="2200" w:type="dxa"/>
            <w:tcBorders>
              <w:top w:val="nil"/>
              <w:left w:val="single" w:sz="4" w:space="0" w:color="auto"/>
              <w:bottom w:val="single" w:sz="4" w:space="0" w:color="auto"/>
              <w:right w:val="single" w:sz="4" w:space="0" w:color="auto"/>
            </w:tcBorders>
            <w:noWrap/>
            <w:vAlign w:val="bottom"/>
            <w:hideMark/>
          </w:tcPr>
          <w:p w14:paraId="55217105"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Suécia</w:t>
            </w:r>
          </w:p>
        </w:tc>
        <w:tc>
          <w:tcPr>
            <w:tcW w:w="660" w:type="dxa"/>
            <w:tcBorders>
              <w:top w:val="nil"/>
              <w:left w:val="nil"/>
              <w:bottom w:val="single" w:sz="4" w:space="0" w:color="auto"/>
              <w:right w:val="single" w:sz="4" w:space="0" w:color="auto"/>
            </w:tcBorders>
            <w:noWrap/>
            <w:vAlign w:val="bottom"/>
            <w:hideMark/>
          </w:tcPr>
          <w:p w14:paraId="7EF99DA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EWD</w:t>
            </w:r>
          </w:p>
        </w:tc>
        <w:tc>
          <w:tcPr>
            <w:tcW w:w="480" w:type="dxa"/>
            <w:tcBorders>
              <w:top w:val="nil"/>
              <w:left w:val="nil"/>
              <w:bottom w:val="nil"/>
              <w:right w:val="nil"/>
            </w:tcBorders>
            <w:noWrap/>
            <w:vAlign w:val="bottom"/>
            <w:hideMark/>
          </w:tcPr>
          <w:p w14:paraId="49225C39"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single" w:sz="4" w:space="0" w:color="auto"/>
              <w:bottom w:val="single" w:sz="4" w:space="0" w:color="auto"/>
              <w:right w:val="single" w:sz="4" w:space="0" w:color="auto"/>
            </w:tcBorders>
            <w:noWrap/>
            <w:vAlign w:val="bottom"/>
            <w:hideMark/>
          </w:tcPr>
          <w:p w14:paraId="4638CC0D"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México</w:t>
            </w:r>
          </w:p>
        </w:tc>
        <w:tc>
          <w:tcPr>
            <w:tcW w:w="660" w:type="dxa"/>
            <w:tcBorders>
              <w:top w:val="nil"/>
              <w:left w:val="nil"/>
              <w:bottom w:val="single" w:sz="4" w:space="0" w:color="auto"/>
              <w:right w:val="single" w:sz="4" w:space="0" w:color="auto"/>
            </w:tcBorders>
            <w:noWrap/>
            <w:vAlign w:val="bottom"/>
            <w:hideMark/>
          </w:tcPr>
          <w:p w14:paraId="0BF8E44B"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r w:rsidRPr="00952DBE">
              <w:rPr>
                <w:rFonts w:ascii="Aptos Narrow" w:eastAsia="Times New Roman" w:hAnsi="Aptos Narrow" w:cs="Times New Roman"/>
                <w:color w:val="000000"/>
                <w:kern w:val="0"/>
                <w:lang w:eastAsia="pt-BR"/>
                <w14:ligatures w14:val="none"/>
              </w:rPr>
              <w:t>EWW</w:t>
            </w:r>
          </w:p>
        </w:tc>
        <w:tc>
          <w:tcPr>
            <w:tcW w:w="480" w:type="dxa"/>
            <w:tcBorders>
              <w:top w:val="nil"/>
              <w:left w:val="nil"/>
              <w:bottom w:val="nil"/>
              <w:right w:val="nil"/>
            </w:tcBorders>
            <w:noWrap/>
            <w:vAlign w:val="bottom"/>
            <w:hideMark/>
          </w:tcPr>
          <w:p w14:paraId="665AD55B" w14:textId="77777777" w:rsidR="00952DBE" w:rsidRPr="00952DBE" w:rsidRDefault="00952DBE" w:rsidP="00952DBE">
            <w:pPr>
              <w:spacing w:after="0" w:line="240" w:lineRule="auto"/>
              <w:rPr>
                <w:rFonts w:ascii="Aptos Narrow" w:eastAsia="Times New Roman" w:hAnsi="Aptos Narrow" w:cs="Times New Roman"/>
                <w:color w:val="000000"/>
                <w:kern w:val="0"/>
                <w:lang w:eastAsia="pt-BR"/>
                <w14:ligatures w14:val="none"/>
              </w:rPr>
            </w:pPr>
          </w:p>
        </w:tc>
        <w:tc>
          <w:tcPr>
            <w:tcW w:w="2200" w:type="dxa"/>
            <w:tcBorders>
              <w:top w:val="nil"/>
              <w:left w:val="nil"/>
              <w:bottom w:val="nil"/>
              <w:right w:val="nil"/>
            </w:tcBorders>
            <w:noWrap/>
            <w:vAlign w:val="bottom"/>
            <w:hideMark/>
          </w:tcPr>
          <w:p w14:paraId="45B7E22B" w14:textId="77777777" w:rsidR="00952DBE" w:rsidRPr="00952DBE" w:rsidRDefault="00952DBE" w:rsidP="00952DBE">
            <w:pPr>
              <w:spacing w:after="0" w:line="240" w:lineRule="auto"/>
              <w:rPr>
                <w:rFonts w:ascii="Times New Roman" w:eastAsia="Times New Roman" w:hAnsi="Times New Roman" w:cs="Times New Roman"/>
                <w:kern w:val="0"/>
                <w:sz w:val="20"/>
                <w:szCs w:val="20"/>
                <w:lang w:eastAsia="pt-BR"/>
                <w14:ligatures w14:val="none"/>
              </w:rPr>
            </w:pPr>
          </w:p>
        </w:tc>
        <w:tc>
          <w:tcPr>
            <w:tcW w:w="700" w:type="dxa"/>
            <w:tcBorders>
              <w:top w:val="nil"/>
              <w:left w:val="nil"/>
              <w:bottom w:val="nil"/>
              <w:right w:val="nil"/>
            </w:tcBorders>
            <w:noWrap/>
            <w:vAlign w:val="bottom"/>
            <w:hideMark/>
          </w:tcPr>
          <w:p w14:paraId="3A6C6ADB" w14:textId="77777777" w:rsidR="00952DBE" w:rsidRPr="00952DBE" w:rsidRDefault="00952DBE" w:rsidP="00952DBE">
            <w:pPr>
              <w:spacing w:after="0" w:line="240" w:lineRule="auto"/>
              <w:rPr>
                <w:rFonts w:ascii="Times New Roman" w:eastAsia="Times New Roman" w:hAnsi="Times New Roman" w:cs="Times New Roman"/>
                <w:kern w:val="0"/>
                <w:sz w:val="20"/>
                <w:szCs w:val="20"/>
                <w:lang w:eastAsia="pt-BR"/>
                <w14:ligatures w14:val="none"/>
              </w:rPr>
            </w:pPr>
          </w:p>
        </w:tc>
      </w:tr>
    </w:tbl>
    <w:p w14:paraId="026AA2A0" w14:textId="21972799" w:rsidR="00952DBE" w:rsidRDefault="00952DBE" w:rsidP="00DF53A6">
      <w:pPr>
        <w:spacing w:after="0"/>
        <w:jc w:val="both"/>
      </w:pPr>
    </w:p>
    <w:p w14:paraId="6694AF53" w14:textId="77777777" w:rsidR="00952DBE" w:rsidRDefault="00952DBE" w:rsidP="00DF53A6">
      <w:pPr>
        <w:spacing w:after="0"/>
        <w:jc w:val="both"/>
      </w:pPr>
    </w:p>
    <w:p w14:paraId="409730A0" w14:textId="4F62BDA3" w:rsidR="00EF72DA" w:rsidRDefault="00D22336" w:rsidP="00DF53A6">
      <w:pPr>
        <w:spacing w:after="0"/>
        <w:jc w:val="both"/>
      </w:pPr>
      <w:r w:rsidRPr="00D22336">
        <w:t xml:space="preserve">Para o cenário do Joesley Day, foi considerada como data de </w:t>
      </w:r>
      <w:r w:rsidR="00EA48A5">
        <w:t>tratamento</w:t>
      </w:r>
      <w:r w:rsidRPr="00D22336">
        <w:t xml:space="preserve"> o dia 17/05/2017. No entanto, como será discutido adiante, a notícia passou a impactar o mercado apenas a partir de 18/05/2017, uma vez que foi divulgada após o fechamento do pregão. Para a construção do controle sintético, foi utilizado um período histórico de três meses anteriores </w:t>
      </w:r>
      <w:r w:rsidR="00EA48A5">
        <w:t>ao tratamento</w:t>
      </w:r>
      <w:r w:rsidRPr="00D22336">
        <w:t xml:space="preserve"> e, para a mensuração do impacto, considerou-se um horizonte de cinco dias após </w:t>
      </w:r>
      <w:r w:rsidR="00935810">
        <w:t>o tratamento</w:t>
      </w:r>
      <w:r w:rsidRPr="00D22336">
        <w:t>. O período total da amostra compreende de 16/02/2016 a 23/05/2017, totalizando 61 dias de negociação.</w:t>
      </w:r>
    </w:p>
    <w:p w14:paraId="449D5156" w14:textId="77777777" w:rsidR="002A7998" w:rsidRDefault="002A7998" w:rsidP="00DF53A6">
      <w:pPr>
        <w:spacing w:after="0"/>
        <w:jc w:val="both"/>
      </w:pPr>
    </w:p>
    <w:p w14:paraId="511CC474" w14:textId="2A6E0A4A" w:rsidR="00EF72DA" w:rsidRDefault="00571A8E" w:rsidP="00DF53A6">
      <w:pPr>
        <w:spacing w:after="0"/>
        <w:jc w:val="both"/>
      </w:pPr>
      <w:r w:rsidRPr="00571A8E">
        <w:lastRenderedPageBreak/>
        <w:t>Para o cenário da COVID-19, foi considerada como data de tratamento o dia 20/02/2020. Para a construção do controle sintético, utilizou-se um período de três meses anteriores ao tratamento e, para a mensuração do impacto, considerou-se o intervalo até 23/03/2020, quando se iniciou a recuperação do mercado. O período total da amostra compreende de 18/11/2019 a 23/03/2020, totalizando 85 dias de negociação.</w:t>
      </w:r>
    </w:p>
    <w:p w14:paraId="2C230E6D" w14:textId="77777777" w:rsidR="00905D5F" w:rsidRDefault="00905D5F" w:rsidP="00DF53A6">
      <w:pPr>
        <w:spacing w:after="0"/>
        <w:jc w:val="both"/>
      </w:pPr>
    </w:p>
    <w:p w14:paraId="41437141" w14:textId="107C4801" w:rsidR="00905D5F" w:rsidRDefault="00905D5F" w:rsidP="00DF53A6">
      <w:pPr>
        <w:spacing w:after="0"/>
        <w:jc w:val="both"/>
      </w:pPr>
      <w:r w:rsidRPr="00905D5F">
        <w:t>Os dados foram transformados em retornos percentuais de forma a eliminar diferenças de escala entre os mercados e reduzir problemas de não estacionariedade, permitindo uma comparação consistente entre a bolsa brasileira e os mercados doadores. Observações iniciais ausentes foram removidas para garantir o alinhamento temporal das séries.</w:t>
      </w:r>
    </w:p>
    <w:p w14:paraId="006353AE" w14:textId="77777777" w:rsidR="008F5C9B" w:rsidRDefault="008F5C9B" w:rsidP="00DF53A6">
      <w:pPr>
        <w:spacing w:after="0"/>
        <w:jc w:val="both"/>
      </w:pPr>
    </w:p>
    <w:p w14:paraId="23BDDF73" w14:textId="77777777" w:rsidR="009812EF" w:rsidRPr="009812EF" w:rsidRDefault="009812EF" w:rsidP="00DF53A6">
      <w:pPr>
        <w:spacing w:after="0"/>
        <w:jc w:val="both"/>
        <w:rPr>
          <w:u w:val="single"/>
        </w:rPr>
      </w:pPr>
    </w:p>
    <w:p w14:paraId="3234C800" w14:textId="60BF72DF" w:rsidR="008F01DA" w:rsidRDefault="007F2F75" w:rsidP="00DF53A6">
      <w:pPr>
        <w:spacing w:after="0"/>
        <w:jc w:val="both"/>
      </w:pPr>
      <w:r>
        <w:rPr>
          <w:b/>
          <w:bCs/>
        </w:rPr>
        <w:t xml:space="preserve">Construção </w:t>
      </w:r>
      <w:r w:rsidR="00A210EB">
        <w:rPr>
          <w:b/>
          <w:bCs/>
        </w:rPr>
        <w:t xml:space="preserve">do </w:t>
      </w:r>
      <w:r w:rsidR="009812EF">
        <w:rPr>
          <w:b/>
          <w:bCs/>
        </w:rPr>
        <w:t>controle</w:t>
      </w:r>
      <w:r w:rsidR="00A210EB">
        <w:rPr>
          <w:b/>
          <w:bCs/>
        </w:rPr>
        <w:t xml:space="preserve"> sintético</w:t>
      </w:r>
    </w:p>
    <w:p w14:paraId="55139BBA" w14:textId="75154278" w:rsidR="00875BCE" w:rsidRDefault="006B1EDB" w:rsidP="00DF53A6">
      <w:pPr>
        <w:spacing w:after="0"/>
        <w:jc w:val="both"/>
      </w:pPr>
      <w:r w:rsidRPr="006B1EDB">
        <w:t>Para construir o controle sintético, formamos uma carteira de ETFs de outros países, denominados doadores, de modo que sua combinação reproduza o comportamento do EWZ no período anterior ao tratamento. O método canônico proposto por Abadie baseia-se em um procedimento de interpolação, no qual os doadores são combinados por meio de pesos que somam um e são restritos a valores não negativos. A construção se dá dessa forma porque essas restrições garantem que o controle sintético seja uma combinação convexa de unidades observadas, evitando extrapolações fora do suporte empírico dos dados e assegurando que o contrafactual permaneça economicamente plausível e diretamente interpretável como uma média ponderada dos mercados doadores.</w:t>
      </w:r>
    </w:p>
    <w:p w14:paraId="18349BD7" w14:textId="77777777" w:rsidR="006B1EDB" w:rsidRDefault="006B1EDB" w:rsidP="00DF53A6">
      <w:pPr>
        <w:spacing w:after="0"/>
        <w:jc w:val="both"/>
      </w:pPr>
    </w:p>
    <w:p w14:paraId="4E7A5173" w14:textId="77777777" w:rsidR="00135ECE" w:rsidRDefault="00135ECE" w:rsidP="00135ECE">
      <w:pPr>
        <w:spacing w:after="0"/>
        <w:jc w:val="both"/>
      </w:pPr>
      <w:r>
        <w:t>No entanto, ao revisar a literatura para este artigo, identificamos abordagens alternativas que não impõem essas restrições, utilizando estimadores como OLS e Lasso para a determinação dos pesos dos doadores [5][6]. O principal argumento dessas abordagens é que o objetivo central da construção do contrafactual é maximizar a correlação com a unidade tratada; nesse contexto, as restrições canônicas podem excluir doadores com forte correlação negativa com a unidade tratada, mesmo quando sua inclusão melhoraria o ajuste pré-tratamento [7].</w:t>
      </w:r>
    </w:p>
    <w:p w14:paraId="45937B93" w14:textId="77777777" w:rsidR="00135ECE" w:rsidRDefault="00135ECE" w:rsidP="00135ECE">
      <w:pPr>
        <w:spacing w:after="0"/>
        <w:jc w:val="both"/>
      </w:pPr>
    </w:p>
    <w:p w14:paraId="0FD8D6FC" w14:textId="45F8853A" w:rsidR="00875BCE" w:rsidRDefault="00135ECE" w:rsidP="00135ECE">
      <w:pPr>
        <w:spacing w:after="0"/>
        <w:jc w:val="both"/>
      </w:pPr>
      <w:r>
        <w:t>Neste estudo, optamos por utilizar o método com restrições. Os pesos dos doadores são obtidos por meio da função minimize do módulo scipy.optimize, resolvendo um problema de otimização cuja função objetivo é o erro quadrático médio (MSE) no período pré-tratamento, sujeito às restrições de não negatividade dos pesos e de que sua soma seja igual a um. A Figura 3 apresenta os pesos atribuídos a cada ETF nos dois cenários analisados.</w:t>
      </w:r>
    </w:p>
    <w:p w14:paraId="59FE2BAA" w14:textId="77777777" w:rsidR="00D27527" w:rsidRDefault="00D27527" w:rsidP="00D27527">
      <w:pPr>
        <w:spacing w:after="0"/>
        <w:jc w:val="both"/>
      </w:pPr>
    </w:p>
    <w:p w14:paraId="0F26016D" w14:textId="77777777" w:rsidR="00D27527" w:rsidRPr="00D27527" w:rsidRDefault="00D27527" w:rsidP="00D27527">
      <w:pPr>
        <w:spacing w:after="0"/>
        <w:jc w:val="both"/>
      </w:pPr>
    </w:p>
    <w:p w14:paraId="2301CD12" w14:textId="37B208EF" w:rsidR="006B1EDB" w:rsidRDefault="006B1EDB" w:rsidP="00DF53A6">
      <w:pPr>
        <w:spacing w:after="0"/>
        <w:jc w:val="both"/>
      </w:pPr>
    </w:p>
    <w:p w14:paraId="7CF6C956" w14:textId="77777777" w:rsidR="006B1EDB" w:rsidRDefault="006B1EDB" w:rsidP="00DF53A6">
      <w:pPr>
        <w:spacing w:after="0"/>
        <w:jc w:val="both"/>
      </w:pPr>
    </w:p>
    <w:p w14:paraId="6A4F030C" w14:textId="575E4AEF" w:rsidR="0012192C" w:rsidRDefault="0012192C" w:rsidP="00DF53A6">
      <w:pPr>
        <w:spacing w:after="0"/>
        <w:jc w:val="both"/>
      </w:pPr>
      <w:r w:rsidRPr="0012192C">
        <w:rPr>
          <w:noProof/>
        </w:rPr>
        <w:lastRenderedPageBreak/>
        <w:drawing>
          <wp:inline distT="0" distB="0" distL="0" distR="0" wp14:anchorId="576D9DF8" wp14:editId="53DB5F87">
            <wp:extent cx="5400040" cy="2101850"/>
            <wp:effectExtent l="0" t="0" r="0" b="0"/>
            <wp:docPr id="424493531" name="Picture 1" descr="A graph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3531" name="Picture 1" descr="A graph with numbers and letters&#10;&#10;AI-generated content may be incorrect."/>
                    <pic:cNvPicPr/>
                  </pic:nvPicPr>
                  <pic:blipFill>
                    <a:blip r:embed="rId9"/>
                    <a:stretch>
                      <a:fillRect/>
                    </a:stretch>
                  </pic:blipFill>
                  <pic:spPr>
                    <a:xfrm>
                      <a:off x="0" y="0"/>
                      <a:ext cx="5400040" cy="2101850"/>
                    </a:xfrm>
                    <a:prstGeom prst="rect">
                      <a:avLst/>
                    </a:prstGeom>
                  </pic:spPr>
                </pic:pic>
              </a:graphicData>
            </a:graphic>
          </wp:inline>
        </w:drawing>
      </w:r>
    </w:p>
    <w:p w14:paraId="1EAEEB97" w14:textId="356C2148" w:rsidR="00562400" w:rsidRDefault="00562400" w:rsidP="00DF53A6">
      <w:pPr>
        <w:spacing w:after="0"/>
        <w:jc w:val="both"/>
      </w:pPr>
      <w:r w:rsidRPr="00562400">
        <w:rPr>
          <w:noProof/>
        </w:rPr>
        <w:drawing>
          <wp:inline distT="0" distB="0" distL="0" distR="0" wp14:anchorId="10458B92" wp14:editId="094818C2">
            <wp:extent cx="5400040" cy="2101850"/>
            <wp:effectExtent l="0" t="0" r="0" b="0"/>
            <wp:docPr id="2066949444" name="Picture 1" descr="A graph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49444" name="Picture 1" descr="A graph with numbers and letters&#10;&#10;AI-generated content may be incorrect."/>
                    <pic:cNvPicPr/>
                  </pic:nvPicPr>
                  <pic:blipFill>
                    <a:blip r:embed="rId10"/>
                    <a:stretch>
                      <a:fillRect/>
                    </a:stretch>
                  </pic:blipFill>
                  <pic:spPr>
                    <a:xfrm>
                      <a:off x="0" y="0"/>
                      <a:ext cx="5400040" cy="2101850"/>
                    </a:xfrm>
                    <a:prstGeom prst="rect">
                      <a:avLst/>
                    </a:prstGeom>
                  </pic:spPr>
                </pic:pic>
              </a:graphicData>
            </a:graphic>
          </wp:inline>
        </w:drawing>
      </w:r>
    </w:p>
    <w:p w14:paraId="76049E38" w14:textId="1007113E" w:rsidR="0098216A" w:rsidRDefault="0098216A" w:rsidP="00DF53A6">
      <w:pPr>
        <w:spacing w:after="0"/>
        <w:jc w:val="both"/>
      </w:pPr>
      <w:r>
        <w:t>Figure 3</w:t>
      </w:r>
    </w:p>
    <w:p w14:paraId="0FFE0313" w14:textId="77777777" w:rsidR="0012192C" w:rsidRDefault="0012192C" w:rsidP="00DF53A6">
      <w:pPr>
        <w:spacing w:after="0"/>
        <w:jc w:val="both"/>
      </w:pPr>
    </w:p>
    <w:p w14:paraId="1CA96CDF" w14:textId="132DE1A7" w:rsidR="00EF72DA" w:rsidRDefault="00147605" w:rsidP="00DF53A6">
      <w:pPr>
        <w:spacing w:after="0"/>
        <w:jc w:val="both"/>
      </w:pPr>
      <w:r w:rsidRPr="00147605">
        <w:t>Observa-se que ETFs de países emergentes, como México (EWW), Argentina (ARGT) e África do Sul (EZA), entre outros, receberam os maiores pesos na modelagem, o que é consistente com o fato de essas economias apresentarem características semelhantes à economia brasileira. A Figura 4 apresenta a comparação entre o EWZ e o controle sintético construído.</w:t>
      </w:r>
    </w:p>
    <w:p w14:paraId="643D6EDF" w14:textId="77777777" w:rsidR="00231E4E" w:rsidRDefault="00231E4E" w:rsidP="00DF53A6">
      <w:pPr>
        <w:spacing w:after="0"/>
        <w:jc w:val="both"/>
      </w:pPr>
    </w:p>
    <w:p w14:paraId="1D55538E" w14:textId="5E3A2A0C" w:rsidR="00231E4E" w:rsidRDefault="00EC5999" w:rsidP="00DF53A6">
      <w:pPr>
        <w:spacing w:after="0"/>
        <w:jc w:val="both"/>
      </w:pPr>
      <w:r w:rsidRPr="00EC5999">
        <w:rPr>
          <w:noProof/>
        </w:rPr>
        <w:drawing>
          <wp:inline distT="0" distB="0" distL="0" distR="0" wp14:anchorId="786BF349" wp14:editId="16C5EAD4">
            <wp:extent cx="5400040" cy="2107565"/>
            <wp:effectExtent l="0" t="0" r="0" b="6985"/>
            <wp:docPr id="587944642" name="Picture 1"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44642" name="Picture 1" descr="A graph with blue and red lines&#10;&#10;AI-generated content may be incorrect."/>
                    <pic:cNvPicPr/>
                  </pic:nvPicPr>
                  <pic:blipFill>
                    <a:blip r:embed="rId11"/>
                    <a:stretch>
                      <a:fillRect/>
                    </a:stretch>
                  </pic:blipFill>
                  <pic:spPr>
                    <a:xfrm>
                      <a:off x="0" y="0"/>
                      <a:ext cx="5400040" cy="2107565"/>
                    </a:xfrm>
                    <a:prstGeom prst="rect">
                      <a:avLst/>
                    </a:prstGeom>
                  </pic:spPr>
                </pic:pic>
              </a:graphicData>
            </a:graphic>
          </wp:inline>
        </w:drawing>
      </w:r>
    </w:p>
    <w:p w14:paraId="543C358E" w14:textId="1C0E4393" w:rsidR="00156670" w:rsidRDefault="00952DBE" w:rsidP="00DF53A6">
      <w:pPr>
        <w:spacing w:after="0"/>
        <w:jc w:val="both"/>
      </w:pPr>
      <w:r w:rsidRPr="00952DBE">
        <w:lastRenderedPageBreak/>
        <w:drawing>
          <wp:inline distT="0" distB="0" distL="0" distR="0" wp14:anchorId="6A43201D" wp14:editId="7A323490">
            <wp:extent cx="5400040" cy="2101850"/>
            <wp:effectExtent l="0" t="0" r="0" b="0"/>
            <wp:docPr id="877304017" name="Imagem 1" descr="Gráfico, Gráfico de linhas, Histo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04017" name="Imagem 1" descr="Gráfico, Gráfico de linhas, Histograma&#10;&#10;O conteúdo gerado por IA pode estar incorreto."/>
                    <pic:cNvPicPr/>
                  </pic:nvPicPr>
                  <pic:blipFill>
                    <a:blip r:embed="rId12"/>
                    <a:stretch>
                      <a:fillRect/>
                    </a:stretch>
                  </pic:blipFill>
                  <pic:spPr>
                    <a:xfrm>
                      <a:off x="0" y="0"/>
                      <a:ext cx="5400040" cy="2101850"/>
                    </a:xfrm>
                    <a:prstGeom prst="rect">
                      <a:avLst/>
                    </a:prstGeom>
                  </pic:spPr>
                </pic:pic>
              </a:graphicData>
            </a:graphic>
          </wp:inline>
        </w:drawing>
      </w:r>
    </w:p>
    <w:p w14:paraId="32A0A79F" w14:textId="1B9E0862" w:rsidR="0098216A" w:rsidRDefault="00B66D94" w:rsidP="00DF53A6">
      <w:pPr>
        <w:spacing w:after="0"/>
        <w:jc w:val="both"/>
      </w:pPr>
      <w:r>
        <w:t>Figure 4</w:t>
      </w:r>
    </w:p>
    <w:p w14:paraId="5B4542A4" w14:textId="77777777" w:rsidR="00156670" w:rsidRDefault="00156670" w:rsidP="00DF53A6">
      <w:pPr>
        <w:spacing w:after="0"/>
        <w:jc w:val="both"/>
      </w:pPr>
    </w:p>
    <w:p w14:paraId="0C3FFE68" w14:textId="5A6401F1" w:rsidR="00147605" w:rsidRDefault="00733033" w:rsidP="00DF53A6">
      <w:pPr>
        <w:spacing w:after="0"/>
        <w:jc w:val="both"/>
      </w:pPr>
      <w:r w:rsidRPr="00733033">
        <w:t>Visualmente, observa-se que, em ambos os casos, o controle sintético apresenta um bom ajuste à unidade tratada. O erro quadrático médio (MSE) no período pré-tratamento foi de 0,0001 em ambos os cenários. No período pós-tratamento associado ao episódio do Joesley Day, o EWZ apresentou uma queda significativamente maior em comparação ao controle sintético. Para quantificar esse impacto, calcula-se a diferença entre a trajetória observada do EWZ e a trajetória do controle sintético. A Figura 5 ilustra essa diferença, denominada GAP ou pointwise effect.</w:t>
      </w:r>
    </w:p>
    <w:p w14:paraId="4FCB0FBA" w14:textId="77777777" w:rsidR="00733033" w:rsidRDefault="00733033" w:rsidP="00DF53A6">
      <w:pPr>
        <w:spacing w:after="0"/>
        <w:jc w:val="both"/>
      </w:pPr>
    </w:p>
    <w:p w14:paraId="48DF0749" w14:textId="77777777" w:rsidR="00733033" w:rsidRPr="00147605" w:rsidRDefault="00733033" w:rsidP="00DF53A6">
      <w:pPr>
        <w:spacing w:after="0"/>
        <w:jc w:val="both"/>
        <w:rPr>
          <w:u w:val="single"/>
        </w:rPr>
      </w:pPr>
    </w:p>
    <w:p w14:paraId="4B65B09C" w14:textId="2CEDB6AD" w:rsidR="000D443E" w:rsidRPr="008A20F1" w:rsidRDefault="008A20F1" w:rsidP="00DF53A6">
      <w:pPr>
        <w:spacing w:after="0"/>
        <w:jc w:val="both"/>
        <w:rPr>
          <w:b/>
          <w:bCs/>
        </w:rPr>
      </w:pPr>
      <w:r w:rsidRPr="008A20F1">
        <w:rPr>
          <w:b/>
          <w:bCs/>
        </w:rPr>
        <w:t>Inferência e Testes Placebo</w:t>
      </w:r>
    </w:p>
    <w:p w14:paraId="6EF46684" w14:textId="77777777" w:rsidR="000D443E" w:rsidRDefault="000D443E" w:rsidP="00DF53A6">
      <w:pPr>
        <w:spacing w:after="0"/>
        <w:jc w:val="both"/>
      </w:pPr>
    </w:p>
    <w:p w14:paraId="79621F59" w14:textId="53FED2E8" w:rsidR="000D443E" w:rsidRDefault="002D1EB9" w:rsidP="00DF53A6">
      <w:pPr>
        <w:spacing w:after="0"/>
        <w:jc w:val="both"/>
      </w:pPr>
      <w:r w:rsidRPr="002D1EB9">
        <w:rPr>
          <w:noProof/>
        </w:rPr>
        <w:drawing>
          <wp:inline distT="0" distB="0" distL="0" distR="0" wp14:anchorId="71EDF169" wp14:editId="1011A52B">
            <wp:extent cx="5400040" cy="2107565"/>
            <wp:effectExtent l="0" t="0" r="0" b="6985"/>
            <wp:docPr id="1012983219" name="Picture 1" descr="A graph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83219" name="Picture 1" descr="A graph with blue and green lines&#10;&#10;AI-generated content may be incorrect."/>
                    <pic:cNvPicPr/>
                  </pic:nvPicPr>
                  <pic:blipFill>
                    <a:blip r:embed="rId13"/>
                    <a:stretch>
                      <a:fillRect/>
                    </a:stretch>
                  </pic:blipFill>
                  <pic:spPr>
                    <a:xfrm>
                      <a:off x="0" y="0"/>
                      <a:ext cx="5400040" cy="2107565"/>
                    </a:xfrm>
                    <a:prstGeom prst="rect">
                      <a:avLst/>
                    </a:prstGeom>
                  </pic:spPr>
                </pic:pic>
              </a:graphicData>
            </a:graphic>
          </wp:inline>
        </w:drawing>
      </w:r>
    </w:p>
    <w:p w14:paraId="3B570A89" w14:textId="213771AB" w:rsidR="006C1ACA" w:rsidRDefault="00B66D94" w:rsidP="00DF53A6">
      <w:pPr>
        <w:spacing w:after="0"/>
        <w:jc w:val="both"/>
      </w:pPr>
      <w:r w:rsidRPr="00B66D94">
        <w:rPr>
          <w:noProof/>
        </w:rPr>
        <w:drawing>
          <wp:inline distT="0" distB="0" distL="0" distR="0" wp14:anchorId="67108250" wp14:editId="042BDCE6">
            <wp:extent cx="5400040" cy="2101850"/>
            <wp:effectExtent l="0" t="0" r="0" b="0"/>
            <wp:docPr id="652916816" name="Picture 1" descr="A graph showing a blu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16816" name="Picture 1" descr="A graph showing a blue and green line&#10;&#10;AI-generated content may be incorrect."/>
                    <pic:cNvPicPr/>
                  </pic:nvPicPr>
                  <pic:blipFill>
                    <a:blip r:embed="rId14"/>
                    <a:stretch>
                      <a:fillRect/>
                    </a:stretch>
                  </pic:blipFill>
                  <pic:spPr>
                    <a:xfrm>
                      <a:off x="0" y="0"/>
                      <a:ext cx="5400040" cy="2101850"/>
                    </a:xfrm>
                    <a:prstGeom prst="rect">
                      <a:avLst/>
                    </a:prstGeom>
                  </pic:spPr>
                </pic:pic>
              </a:graphicData>
            </a:graphic>
          </wp:inline>
        </w:drawing>
      </w:r>
    </w:p>
    <w:p w14:paraId="5A127485" w14:textId="2392C363" w:rsidR="00B66D94" w:rsidRDefault="00B66D94" w:rsidP="00DF53A6">
      <w:pPr>
        <w:spacing w:after="0"/>
        <w:jc w:val="both"/>
      </w:pPr>
      <w:r>
        <w:lastRenderedPageBreak/>
        <w:t xml:space="preserve">Figure </w:t>
      </w:r>
      <w:r w:rsidR="00D4043D">
        <w:t>6</w:t>
      </w:r>
    </w:p>
    <w:p w14:paraId="124A07A1" w14:textId="77777777" w:rsidR="00BE4691" w:rsidRDefault="00BE4691" w:rsidP="00DF53A6">
      <w:pPr>
        <w:spacing w:after="0"/>
        <w:jc w:val="both"/>
      </w:pPr>
    </w:p>
    <w:p w14:paraId="2EBB5289" w14:textId="77777777" w:rsidR="00BE4691" w:rsidRDefault="00BE4691" w:rsidP="00DF53A6">
      <w:pPr>
        <w:spacing w:after="0"/>
        <w:jc w:val="both"/>
      </w:pPr>
    </w:p>
    <w:p w14:paraId="15870E80" w14:textId="6C606810" w:rsidR="00BE4691" w:rsidRDefault="00315369" w:rsidP="00DF53A6">
      <w:pPr>
        <w:spacing w:after="0"/>
        <w:jc w:val="both"/>
      </w:pPr>
      <w:r w:rsidRPr="00315369">
        <w:rPr>
          <w:noProof/>
        </w:rPr>
        <w:drawing>
          <wp:inline distT="0" distB="0" distL="0" distR="0" wp14:anchorId="49851A02" wp14:editId="48A75D79">
            <wp:extent cx="5400040" cy="2101850"/>
            <wp:effectExtent l="0" t="0" r="0" b="0"/>
            <wp:docPr id="1697743155" name="Picture 1" descr="A graph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43155" name="Picture 1" descr="A graph with numbers and letters&#10;&#10;AI-generated content may be incorrect."/>
                    <pic:cNvPicPr/>
                  </pic:nvPicPr>
                  <pic:blipFill>
                    <a:blip r:embed="rId15"/>
                    <a:stretch>
                      <a:fillRect/>
                    </a:stretch>
                  </pic:blipFill>
                  <pic:spPr>
                    <a:xfrm>
                      <a:off x="0" y="0"/>
                      <a:ext cx="5400040" cy="2101850"/>
                    </a:xfrm>
                    <a:prstGeom prst="rect">
                      <a:avLst/>
                    </a:prstGeom>
                  </pic:spPr>
                </pic:pic>
              </a:graphicData>
            </a:graphic>
          </wp:inline>
        </w:drawing>
      </w:r>
    </w:p>
    <w:p w14:paraId="0798EEAB" w14:textId="360B6095" w:rsidR="00386809" w:rsidRDefault="00386809" w:rsidP="00DF53A6">
      <w:pPr>
        <w:spacing w:after="0"/>
        <w:jc w:val="both"/>
      </w:pPr>
      <w:r w:rsidRPr="00386809">
        <w:rPr>
          <w:noProof/>
        </w:rPr>
        <w:drawing>
          <wp:inline distT="0" distB="0" distL="0" distR="0" wp14:anchorId="6D84F89C" wp14:editId="5B89D0D0">
            <wp:extent cx="5400040" cy="2101850"/>
            <wp:effectExtent l="0" t="0" r="0" b="0"/>
            <wp:docPr id="1514880841"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80841" name="Picture 1" descr="A graph of a number of people&#10;&#10;AI-generated content may be incorrect."/>
                    <pic:cNvPicPr/>
                  </pic:nvPicPr>
                  <pic:blipFill>
                    <a:blip r:embed="rId16"/>
                    <a:stretch>
                      <a:fillRect/>
                    </a:stretch>
                  </pic:blipFill>
                  <pic:spPr>
                    <a:xfrm>
                      <a:off x="0" y="0"/>
                      <a:ext cx="5400040" cy="2101850"/>
                    </a:xfrm>
                    <a:prstGeom prst="rect">
                      <a:avLst/>
                    </a:prstGeom>
                  </pic:spPr>
                </pic:pic>
              </a:graphicData>
            </a:graphic>
          </wp:inline>
        </w:drawing>
      </w:r>
    </w:p>
    <w:p w14:paraId="3015AA8B" w14:textId="79FB6D32" w:rsidR="00B66D94" w:rsidRDefault="00B66D94" w:rsidP="00DF53A6">
      <w:pPr>
        <w:spacing w:after="0"/>
        <w:jc w:val="both"/>
      </w:pPr>
      <w:r>
        <w:t xml:space="preserve">Figure </w:t>
      </w:r>
      <w:r w:rsidR="00D4043D">
        <w:t>7</w:t>
      </w:r>
    </w:p>
    <w:p w14:paraId="74535877" w14:textId="77777777" w:rsidR="00231E4E" w:rsidRDefault="00231E4E" w:rsidP="00DF53A6">
      <w:pPr>
        <w:spacing w:after="0"/>
        <w:jc w:val="both"/>
      </w:pPr>
    </w:p>
    <w:p w14:paraId="28B9C7D6" w14:textId="77777777" w:rsidR="003943DD" w:rsidRDefault="003943DD" w:rsidP="00DF53A6">
      <w:pPr>
        <w:spacing w:after="0"/>
        <w:jc w:val="both"/>
      </w:pPr>
    </w:p>
    <w:p w14:paraId="3FBA2854" w14:textId="3FF84FB6" w:rsidR="003943DD" w:rsidRDefault="003943DD" w:rsidP="00DF53A6">
      <w:pPr>
        <w:spacing w:after="0"/>
        <w:jc w:val="both"/>
      </w:pPr>
      <w:r>
        <w:t xml:space="preserve">[1] </w:t>
      </w:r>
      <w:hyperlink r:id="rId17" w:history="1">
        <w:r w:rsidRPr="001D2B8C">
          <w:rPr>
            <w:rStyle w:val="Hyperlink"/>
          </w:rPr>
          <w:t>https://pt.wikipedia.org/wiki/Joesley_Day</w:t>
        </w:r>
      </w:hyperlink>
    </w:p>
    <w:p w14:paraId="7FA26C31" w14:textId="504B7231" w:rsidR="003943DD" w:rsidRDefault="003943DD" w:rsidP="00DF53A6">
      <w:pPr>
        <w:spacing w:after="0"/>
        <w:jc w:val="both"/>
      </w:pPr>
      <w:r>
        <w:t xml:space="preserve">[2] </w:t>
      </w:r>
      <w:hyperlink r:id="rId18" w:history="1">
        <w:r w:rsidRPr="0071179A">
          <w:rPr>
            <w:rStyle w:val="Hyperlink"/>
          </w:rPr>
          <w:t>https://en.wikipedia.org/wiki/2020_stock_market_crash</w:t>
        </w:r>
      </w:hyperlink>
    </w:p>
    <w:p w14:paraId="100B0D25" w14:textId="11EE7D2C" w:rsidR="00E94EFE" w:rsidRDefault="00E94EFE" w:rsidP="00DF53A6">
      <w:pPr>
        <w:spacing w:after="0"/>
        <w:jc w:val="both"/>
      </w:pPr>
      <w:r>
        <w:t xml:space="preserve">[3] </w:t>
      </w:r>
      <w:hyperlink r:id="rId19" w:history="1">
        <w:r w:rsidRPr="00874EC8">
          <w:rPr>
            <w:rStyle w:val="Hyperlink"/>
          </w:rPr>
          <w:t>https://www.tandfonline.com/doi/abs/10.1198/jasa.2009.ap08746</w:t>
        </w:r>
      </w:hyperlink>
    </w:p>
    <w:p w14:paraId="657B06BF" w14:textId="19C95A0F" w:rsidR="00E94EFE" w:rsidRDefault="00E94EFE" w:rsidP="00DF53A6">
      <w:pPr>
        <w:spacing w:after="0"/>
        <w:jc w:val="both"/>
      </w:pPr>
      <w:r>
        <w:t xml:space="preserve">[4] </w:t>
      </w:r>
      <w:hyperlink r:id="rId20" w:history="1">
        <w:r w:rsidRPr="006B0B5A">
          <w:rPr>
            <w:rStyle w:val="Hyperlink"/>
          </w:rPr>
          <w:t>https://en.wikipedia.org/wiki/Synthetic_control_method</w:t>
        </w:r>
      </w:hyperlink>
    </w:p>
    <w:p w14:paraId="72831236" w14:textId="77777777" w:rsidR="00D27527" w:rsidRPr="00D27527" w:rsidRDefault="00D27527" w:rsidP="00D27527">
      <w:pPr>
        <w:spacing w:after="0"/>
        <w:jc w:val="both"/>
      </w:pPr>
      <w:r>
        <w:t xml:space="preserve">[5] </w:t>
      </w:r>
      <w:r w:rsidRPr="00D27527">
        <w:t>FX interventions in Brazil: a synthetic control approach</w:t>
      </w:r>
    </w:p>
    <w:p w14:paraId="2FB922C7" w14:textId="54AF0894" w:rsidR="00D27527" w:rsidRDefault="00D27527" w:rsidP="00DF53A6">
      <w:pPr>
        <w:spacing w:after="0"/>
        <w:jc w:val="both"/>
      </w:pPr>
      <w:r>
        <w:t>[6] Avaliação de Impacto no Joesley day no risco Brasil</w:t>
      </w:r>
    </w:p>
    <w:p w14:paraId="2F45BA2C" w14:textId="77777777" w:rsidR="00875BCE" w:rsidRDefault="00875BCE" w:rsidP="00875BCE">
      <w:pPr>
        <w:spacing w:after="0"/>
        <w:jc w:val="both"/>
      </w:pPr>
      <w:r>
        <w:t xml:space="preserve">[7] </w:t>
      </w:r>
      <w:r>
        <w:t>Carvalho C., Masini, R., Medeiros, M., 2015. “Intervention Impact Evaluation on</w:t>
      </w:r>
    </w:p>
    <w:p w14:paraId="2103EF4C" w14:textId="77777777" w:rsidR="00875BCE" w:rsidRDefault="00875BCE" w:rsidP="00875BCE">
      <w:pPr>
        <w:spacing w:after="0"/>
        <w:jc w:val="both"/>
      </w:pPr>
      <w:r>
        <w:t>Aggregated Data: The Artificial Counterfactual Approach for Stationary Processes,”</w:t>
      </w:r>
    </w:p>
    <w:p w14:paraId="3A55224B" w14:textId="2EFFEAC3" w:rsidR="00875BCE" w:rsidRDefault="00875BCE" w:rsidP="00875BCE">
      <w:pPr>
        <w:spacing w:after="0"/>
        <w:jc w:val="both"/>
      </w:pPr>
      <w:r>
        <w:t>Working Paper</w:t>
      </w:r>
    </w:p>
    <w:p w14:paraId="6B6A2884" w14:textId="77777777" w:rsidR="00E94EFE" w:rsidRDefault="00E94EFE" w:rsidP="00DF53A6">
      <w:pPr>
        <w:spacing w:after="0"/>
        <w:jc w:val="both"/>
      </w:pPr>
    </w:p>
    <w:p w14:paraId="5A8BC814" w14:textId="77777777" w:rsidR="00E94EFE" w:rsidRDefault="00E94EFE" w:rsidP="00DF53A6">
      <w:pPr>
        <w:spacing w:after="0"/>
        <w:jc w:val="both"/>
      </w:pPr>
    </w:p>
    <w:p w14:paraId="742FC48B" w14:textId="77777777" w:rsidR="003943DD" w:rsidRDefault="003943DD" w:rsidP="00DF53A6">
      <w:pPr>
        <w:spacing w:after="0"/>
        <w:jc w:val="both"/>
      </w:pPr>
    </w:p>
    <w:p w14:paraId="2EB6C81E" w14:textId="77777777" w:rsidR="00C73D8D" w:rsidRDefault="00C73D8D" w:rsidP="00DF53A6">
      <w:pPr>
        <w:spacing w:after="0"/>
        <w:jc w:val="both"/>
      </w:pPr>
    </w:p>
    <w:p w14:paraId="598631C8" w14:textId="77777777" w:rsidR="00C73D8D" w:rsidRDefault="00C73D8D" w:rsidP="00DF53A6">
      <w:pPr>
        <w:spacing w:after="0"/>
        <w:jc w:val="both"/>
      </w:pPr>
    </w:p>
    <w:sectPr w:rsidR="00C73D8D">
      <w:footerReference w:type="even" r:id="rId21"/>
      <w:footerReference w:type="default" r:id="rId22"/>
      <w:footerReference w:type="first" r:id="rId2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799F0" w14:textId="77777777" w:rsidR="002C2411" w:rsidRDefault="002C2411" w:rsidP="009F7C0B">
      <w:pPr>
        <w:spacing w:after="0" w:line="240" w:lineRule="auto"/>
      </w:pPr>
      <w:r>
        <w:separator/>
      </w:r>
    </w:p>
  </w:endnote>
  <w:endnote w:type="continuationSeparator" w:id="0">
    <w:p w14:paraId="0134F181" w14:textId="77777777" w:rsidR="002C2411" w:rsidRDefault="002C2411" w:rsidP="009F7C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73E66" w14:textId="35619088" w:rsidR="009F7C0B" w:rsidRDefault="009F7C0B">
    <w:pPr>
      <w:pStyle w:val="Rodap"/>
    </w:pPr>
    <w:r>
      <w:rPr>
        <w:noProof/>
      </w:rPr>
      <mc:AlternateContent>
        <mc:Choice Requires="wps">
          <w:drawing>
            <wp:anchor distT="0" distB="0" distL="0" distR="0" simplePos="0" relativeHeight="251659264" behindDoc="0" locked="0" layoutInCell="1" allowOverlap="1" wp14:anchorId="7AF294C2" wp14:editId="45894241">
              <wp:simplePos x="635" y="635"/>
              <wp:positionH relativeFrom="page">
                <wp:align>center</wp:align>
              </wp:positionH>
              <wp:positionV relativeFrom="page">
                <wp:align>bottom</wp:align>
              </wp:positionV>
              <wp:extent cx="1170305" cy="324485"/>
              <wp:effectExtent l="0" t="0" r="10795" b="0"/>
              <wp:wrapNone/>
              <wp:docPr id="265424498" name="Text Box 2" descr="Classificado como Pú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24485"/>
                      </a:xfrm>
                      <a:prstGeom prst="rect">
                        <a:avLst/>
                      </a:prstGeom>
                      <a:noFill/>
                      <a:ln>
                        <a:noFill/>
                      </a:ln>
                    </wps:spPr>
                    <wps:txbx>
                      <w:txbxContent>
                        <w:p w14:paraId="157ED575" w14:textId="3DCF97E3" w:rsidR="009F7C0B" w:rsidRPr="009F7C0B" w:rsidRDefault="009F7C0B" w:rsidP="009F7C0B">
                          <w:pPr>
                            <w:spacing w:after="0"/>
                            <w:rPr>
                              <w:rFonts w:ascii="Aptos" w:eastAsia="Aptos" w:hAnsi="Aptos" w:cs="Aptos"/>
                              <w:noProof/>
                              <w:color w:val="737373"/>
                              <w:sz w:val="16"/>
                              <w:szCs w:val="16"/>
                            </w:rPr>
                          </w:pPr>
                          <w:r w:rsidRPr="009F7C0B">
                            <w:rPr>
                              <w:rFonts w:ascii="Aptos" w:eastAsia="Aptos" w:hAnsi="Aptos" w:cs="Aptos"/>
                              <w:noProof/>
                              <w:color w:val="737373"/>
                              <w:sz w:val="16"/>
                              <w:szCs w:val="16"/>
                            </w:rPr>
                            <w:t>Classificado como Público</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F294C2" id="_x0000_t202" coordsize="21600,21600" o:spt="202" path="m,l,21600r21600,l21600,xe">
              <v:stroke joinstyle="miter"/>
              <v:path gradientshapeok="t" o:connecttype="rect"/>
            </v:shapetype>
            <v:shape id="Text Box 2" o:spid="_x0000_s1026" type="#_x0000_t202" alt="Classificado como Público" style="position:absolute;margin-left:0;margin-top:0;width:92.15pt;height:25.5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" filled="f" stroked="f">
              <v:textbox style="mso-fit-shape-to-text:t" inset="0,0,0,15pt">
                <w:txbxContent>
                  <w:p w14:paraId="157ED575" w14:textId="3DCF97E3" w:rsidR="009F7C0B" w:rsidRPr="009F7C0B" w:rsidRDefault="009F7C0B" w:rsidP="009F7C0B">
                    <w:pPr>
                      <w:spacing w:after="0"/>
                      <w:rPr>
                        <w:rFonts w:ascii="Aptos" w:eastAsia="Aptos" w:hAnsi="Aptos" w:cs="Aptos"/>
                        <w:noProof/>
                        <w:color w:val="737373"/>
                        <w:sz w:val="16"/>
                        <w:szCs w:val="16"/>
                      </w:rPr>
                    </w:pPr>
                    <w:r w:rsidRPr="009F7C0B">
                      <w:rPr>
                        <w:rFonts w:ascii="Aptos" w:eastAsia="Aptos" w:hAnsi="Aptos" w:cs="Aptos"/>
                        <w:noProof/>
                        <w:color w:val="737373"/>
                        <w:sz w:val="16"/>
                        <w:szCs w:val="16"/>
                      </w:rPr>
                      <w:t>Classificado como Público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42B6" w14:textId="7B5E083D" w:rsidR="009F7C0B" w:rsidRDefault="009F7C0B">
    <w:pPr>
      <w:pStyle w:val="Rodap"/>
    </w:pPr>
    <w:r>
      <w:rPr>
        <w:noProof/>
      </w:rPr>
      <mc:AlternateContent>
        <mc:Choice Requires="wps">
          <w:drawing>
            <wp:anchor distT="0" distB="0" distL="0" distR="0" simplePos="0" relativeHeight="251660288" behindDoc="0" locked="0" layoutInCell="1" allowOverlap="1" wp14:anchorId="616EFC2D" wp14:editId="34CBB0FA">
              <wp:simplePos x="1079500" y="10071100"/>
              <wp:positionH relativeFrom="page">
                <wp:align>center</wp:align>
              </wp:positionH>
              <wp:positionV relativeFrom="page">
                <wp:align>bottom</wp:align>
              </wp:positionV>
              <wp:extent cx="1170305" cy="324485"/>
              <wp:effectExtent l="0" t="0" r="10795" b="0"/>
              <wp:wrapNone/>
              <wp:docPr id="367722092" name="Text Box 3" descr="Classificado como Pú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24485"/>
                      </a:xfrm>
                      <a:prstGeom prst="rect">
                        <a:avLst/>
                      </a:prstGeom>
                      <a:noFill/>
                      <a:ln>
                        <a:noFill/>
                      </a:ln>
                    </wps:spPr>
                    <wps:txbx>
                      <w:txbxContent>
                        <w:p w14:paraId="318ADFA9" w14:textId="37B329DE" w:rsidR="009F7C0B" w:rsidRPr="009F7C0B" w:rsidRDefault="009F7C0B" w:rsidP="009F7C0B">
                          <w:pPr>
                            <w:spacing w:after="0"/>
                            <w:rPr>
                              <w:rFonts w:ascii="Aptos" w:eastAsia="Aptos" w:hAnsi="Aptos" w:cs="Aptos"/>
                              <w:noProof/>
                              <w:color w:val="737373"/>
                              <w:sz w:val="16"/>
                              <w:szCs w:val="16"/>
                            </w:rPr>
                          </w:pPr>
                          <w:r w:rsidRPr="009F7C0B">
                            <w:rPr>
                              <w:rFonts w:ascii="Aptos" w:eastAsia="Aptos" w:hAnsi="Aptos" w:cs="Aptos"/>
                              <w:noProof/>
                              <w:color w:val="737373"/>
                              <w:sz w:val="16"/>
                              <w:szCs w:val="16"/>
                            </w:rPr>
                            <w:t>Classificado como Público</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16EFC2D" id="_x0000_t202" coordsize="21600,21600" o:spt="202" path="m,l,21600r21600,l21600,xe">
              <v:stroke joinstyle="miter"/>
              <v:path gradientshapeok="t" o:connecttype="rect"/>
            </v:shapetype>
            <v:shape id="Text Box 3" o:spid="_x0000_s1027" type="#_x0000_t202" alt="Classificado como Público" style="position:absolute;margin-left:0;margin-top:0;width:92.15pt;height:25.5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" filled="f" stroked="f">
              <v:textbox style="mso-fit-shape-to-text:t" inset="0,0,0,15pt">
                <w:txbxContent>
                  <w:p w14:paraId="318ADFA9" w14:textId="37B329DE" w:rsidR="009F7C0B" w:rsidRPr="009F7C0B" w:rsidRDefault="009F7C0B" w:rsidP="009F7C0B">
                    <w:pPr>
                      <w:spacing w:after="0"/>
                      <w:rPr>
                        <w:rFonts w:ascii="Aptos" w:eastAsia="Aptos" w:hAnsi="Aptos" w:cs="Aptos"/>
                        <w:noProof/>
                        <w:color w:val="737373"/>
                        <w:sz w:val="16"/>
                        <w:szCs w:val="16"/>
                      </w:rPr>
                    </w:pPr>
                    <w:r w:rsidRPr="009F7C0B">
                      <w:rPr>
                        <w:rFonts w:ascii="Aptos" w:eastAsia="Aptos" w:hAnsi="Aptos" w:cs="Aptos"/>
                        <w:noProof/>
                        <w:color w:val="737373"/>
                        <w:sz w:val="16"/>
                        <w:szCs w:val="16"/>
                      </w:rPr>
                      <w:t>Classificado como Público</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F615" w14:textId="254854E7" w:rsidR="009F7C0B" w:rsidRDefault="009F7C0B">
    <w:pPr>
      <w:pStyle w:val="Rodap"/>
    </w:pPr>
    <w:r>
      <w:rPr>
        <w:noProof/>
      </w:rPr>
      <mc:AlternateContent>
        <mc:Choice Requires="wps">
          <w:drawing>
            <wp:anchor distT="0" distB="0" distL="0" distR="0" simplePos="0" relativeHeight="251658240" behindDoc="0" locked="0" layoutInCell="1" allowOverlap="1" wp14:anchorId="62EDF443" wp14:editId="6C2A762E">
              <wp:simplePos x="635" y="635"/>
              <wp:positionH relativeFrom="page">
                <wp:align>center</wp:align>
              </wp:positionH>
              <wp:positionV relativeFrom="page">
                <wp:align>bottom</wp:align>
              </wp:positionV>
              <wp:extent cx="1170305" cy="324485"/>
              <wp:effectExtent l="0" t="0" r="10795" b="0"/>
              <wp:wrapNone/>
              <wp:docPr id="1147816738" name="Text Box 1" descr="Classificado como Pú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24485"/>
                      </a:xfrm>
                      <a:prstGeom prst="rect">
                        <a:avLst/>
                      </a:prstGeom>
                      <a:noFill/>
                      <a:ln>
                        <a:noFill/>
                      </a:ln>
                    </wps:spPr>
                    <wps:txbx>
                      <w:txbxContent>
                        <w:p w14:paraId="0099621E" w14:textId="1755C52F" w:rsidR="009F7C0B" w:rsidRPr="009F7C0B" w:rsidRDefault="009F7C0B" w:rsidP="009F7C0B">
                          <w:pPr>
                            <w:spacing w:after="0"/>
                            <w:rPr>
                              <w:rFonts w:ascii="Aptos" w:eastAsia="Aptos" w:hAnsi="Aptos" w:cs="Aptos"/>
                              <w:noProof/>
                              <w:color w:val="737373"/>
                              <w:sz w:val="16"/>
                              <w:szCs w:val="16"/>
                            </w:rPr>
                          </w:pPr>
                          <w:r w:rsidRPr="009F7C0B">
                            <w:rPr>
                              <w:rFonts w:ascii="Aptos" w:eastAsia="Aptos" w:hAnsi="Aptos" w:cs="Aptos"/>
                              <w:noProof/>
                              <w:color w:val="737373"/>
                              <w:sz w:val="16"/>
                              <w:szCs w:val="16"/>
                            </w:rPr>
                            <w:t>Classificado como Público</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EDF443" id="_x0000_t202" coordsize="21600,21600" o:spt="202" path="m,l,21600r21600,l21600,xe">
              <v:stroke joinstyle="miter"/>
              <v:path gradientshapeok="t" o:connecttype="rect"/>
            </v:shapetype>
            <v:shape id="Text Box 1" o:spid="_x0000_s1028" type="#_x0000_t202" alt="Classificado como Público" style="position:absolute;margin-left:0;margin-top:0;width:92.15pt;height:25.5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" filled="f" stroked="f">
              <v:textbox style="mso-fit-shape-to-text:t" inset="0,0,0,15pt">
                <w:txbxContent>
                  <w:p w14:paraId="0099621E" w14:textId="1755C52F" w:rsidR="009F7C0B" w:rsidRPr="009F7C0B" w:rsidRDefault="009F7C0B" w:rsidP="009F7C0B">
                    <w:pPr>
                      <w:spacing w:after="0"/>
                      <w:rPr>
                        <w:rFonts w:ascii="Aptos" w:eastAsia="Aptos" w:hAnsi="Aptos" w:cs="Aptos"/>
                        <w:noProof/>
                        <w:color w:val="737373"/>
                        <w:sz w:val="16"/>
                        <w:szCs w:val="16"/>
                      </w:rPr>
                    </w:pPr>
                    <w:r w:rsidRPr="009F7C0B">
                      <w:rPr>
                        <w:rFonts w:ascii="Aptos" w:eastAsia="Aptos" w:hAnsi="Aptos" w:cs="Aptos"/>
                        <w:noProof/>
                        <w:color w:val="737373"/>
                        <w:sz w:val="16"/>
                        <w:szCs w:val="16"/>
                      </w:rPr>
                      <w:t>Classificado como Público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A5781" w14:textId="77777777" w:rsidR="002C2411" w:rsidRDefault="002C2411" w:rsidP="009F7C0B">
      <w:pPr>
        <w:spacing w:after="0" w:line="240" w:lineRule="auto"/>
      </w:pPr>
      <w:r>
        <w:separator/>
      </w:r>
    </w:p>
  </w:footnote>
  <w:footnote w:type="continuationSeparator" w:id="0">
    <w:p w14:paraId="34FF72D6" w14:textId="77777777" w:rsidR="002C2411" w:rsidRDefault="002C2411" w:rsidP="009F7C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0C5E3E"/>
    <w:multiLevelType w:val="hybridMultilevel"/>
    <w:tmpl w:val="023E662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90495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D8D"/>
    <w:rsid w:val="00093B52"/>
    <w:rsid w:val="000A6DBD"/>
    <w:rsid w:val="000B64DA"/>
    <w:rsid w:val="000C0034"/>
    <w:rsid w:val="000C1349"/>
    <w:rsid w:val="000D443E"/>
    <w:rsid w:val="00100C2C"/>
    <w:rsid w:val="0012192C"/>
    <w:rsid w:val="001227E8"/>
    <w:rsid w:val="00135ECE"/>
    <w:rsid w:val="00147605"/>
    <w:rsid w:val="00156670"/>
    <w:rsid w:val="00231E4E"/>
    <w:rsid w:val="00273687"/>
    <w:rsid w:val="002A7998"/>
    <w:rsid w:val="002B3E0D"/>
    <w:rsid w:val="002C2411"/>
    <w:rsid w:val="002C3272"/>
    <w:rsid w:val="002D1EB9"/>
    <w:rsid w:val="003022E8"/>
    <w:rsid w:val="00315369"/>
    <w:rsid w:val="00320F48"/>
    <w:rsid w:val="003566CE"/>
    <w:rsid w:val="003769DE"/>
    <w:rsid w:val="00386809"/>
    <w:rsid w:val="003943DD"/>
    <w:rsid w:val="0048505F"/>
    <w:rsid w:val="00510056"/>
    <w:rsid w:val="00562400"/>
    <w:rsid w:val="00571A8E"/>
    <w:rsid w:val="00577B05"/>
    <w:rsid w:val="005873DB"/>
    <w:rsid w:val="005B3665"/>
    <w:rsid w:val="00663F28"/>
    <w:rsid w:val="006650F2"/>
    <w:rsid w:val="00666225"/>
    <w:rsid w:val="00673163"/>
    <w:rsid w:val="006A07B9"/>
    <w:rsid w:val="006B1EDB"/>
    <w:rsid w:val="006C1ACA"/>
    <w:rsid w:val="006C533D"/>
    <w:rsid w:val="00733033"/>
    <w:rsid w:val="0076004E"/>
    <w:rsid w:val="007B283C"/>
    <w:rsid w:val="007E60FE"/>
    <w:rsid w:val="007F2F75"/>
    <w:rsid w:val="00855D58"/>
    <w:rsid w:val="00875BCE"/>
    <w:rsid w:val="00880B26"/>
    <w:rsid w:val="00892815"/>
    <w:rsid w:val="008A20F1"/>
    <w:rsid w:val="008E50E7"/>
    <w:rsid w:val="008F01DA"/>
    <w:rsid w:val="008F5C9B"/>
    <w:rsid w:val="00905D5F"/>
    <w:rsid w:val="00933B2A"/>
    <w:rsid w:val="00935810"/>
    <w:rsid w:val="0095209A"/>
    <w:rsid w:val="00952DBE"/>
    <w:rsid w:val="00971E60"/>
    <w:rsid w:val="009812EF"/>
    <w:rsid w:val="0098216A"/>
    <w:rsid w:val="009A2EE9"/>
    <w:rsid w:val="009F7C0B"/>
    <w:rsid w:val="00A03B77"/>
    <w:rsid w:val="00A210EB"/>
    <w:rsid w:val="00A21F24"/>
    <w:rsid w:val="00A3332B"/>
    <w:rsid w:val="00A53191"/>
    <w:rsid w:val="00AB6149"/>
    <w:rsid w:val="00AC35D2"/>
    <w:rsid w:val="00AC64AA"/>
    <w:rsid w:val="00AF533C"/>
    <w:rsid w:val="00B339E4"/>
    <w:rsid w:val="00B46768"/>
    <w:rsid w:val="00B65557"/>
    <w:rsid w:val="00B66D94"/>
    <w:rsid w:val="00B854E6"/>
    <w:rsid w:val="00B86576"/>
    <w:rsid w:val="00BA335D"/>
    <w:rsid w:val="00BB1685"/>
    <w:rsid w:val="00BC5EA7"/>
    <w:rsid w:val="00BE4691"/>
    <w:rsid w:val="00C73D8D"/>
    <w:rsid w:val="00C8643A"/>
    <w:rsid w:val="00C95A96"/>
    <w:rsid w:val="00D22336"/>
    <w:rsid w:val="00D27527"/>
    <w:rsid w:val="00D4043D"/>
    <w:rsid w:val="00D92380"/>
    <w:rsid w:val="00DC0FA7"/>
    <w:rsid w:val="00DF4505"/>
    <w:rsid w:val="00DF53A6"/>
    <w:rsid w:val="00E07C30"/>
    <w:rsid w:val="00E317BA"/>
    <w:rsid w:val="00E94EFE"/>
    <w:rsid w:val="00EA48A5"/>
    <w:rsid w:val="00EB2962"/>
    <w:rsid w:val="00EB75CF"/>
    <w:rsid w:val="00EC5999"/>
    <w:rsid w:val="00EF72DA"/>
    <w:rsid w:val="00F06AB3"/>
    <w:rsid w:val="00F60899"/>
    <w:rsid w:val="00F64CEB"/>
    <w:rsid w:val="00FA743B"/>
    <w:rsid w:val="00FC3A0F"/>
    <w:rsid w:val="00FC44E7"/>
    <w:rsid w:val="00FE5BAD"/>
    <w:rsid w:val="00FF0A61"/>
    <w:rsid w:val="00FF28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0F96B"/>
  <w15:chartTrackingRefBased/>
  <w15:docId w15:val="{1A78D784-CD3F-4FE1-A602-CDD88F1A2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73D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C73D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73D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73D8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73D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73D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73D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73D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73D8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73D8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C73D8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73D8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73D8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73D8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73D8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73D8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73D8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73D8D"/>
    <w:rPr>
      <w:rFonts w:eastAsiaTheme="majorEastAsia" w:cstheme="majorBidi"/>
      <w:color w:val="272727" w:themeColor="text1" w:themeTint="D8"/>
    </w:rPr>
  </w:style>
  <w:style w:type="paragraph" w:styleId="Ttulo">
    <w:name w:val="Title"/>
    <w:basedOn w:val="Normal"/>
    <w:next w:val="Normal"/>
    <w:link w:val="TtuloChar"/>
    <w:uiPriority w:val="10"/>
    <w:qFormat/>
    <w:rsid w:val="00C73D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73D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73D8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73D8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73D8D"/>
    <w:pPr>
      <w:spacing w:before="160"/>
      <w:jc w:val="center"/>
    </w:pPr>
    <w:rPr>
      <w:i/>
      <w:iCs/>
      <w:color w:val="404040" w:themeColor="text1" w:themeTint="BF"/>
    </w:rPr>
  </w:style>
  <w:style w:type="character" w:customStyle="1" w:styleId="CitaoChar">
    <w:name w:val="Citação Char"/>
    <w:basedOn w:val="Fontepargpadro"/>
    <w:link w:val="Citao"/>
    <w:uiPriority w:val="29"/>
    <w:rsid w:val="00C73D8D"/>
    <w:rPr>
      <w:i/>
      <w:iCs/>
      <w:color w:val="404040" w:themeColor="text1" w:themeTint="BF"/>
    </w:rPr>
  </w:style>
  <w:style w:type="paragraph" w:styleId="PargrafodaLista">
    <w:name w:val="List Paragraph"/>
    <w:basedOn w:val="Normal"/>
    <w:uiPriority w:val="34"/>
    <w:qFormat/>
    <w:rsid w:val="00C73D8D"/>
    <w:pPr>
      <w:ind w:left="720"/>
      <w:contextualSpacing/>
    </w:pPr>
  </w:style>
  <w:style w:type="character" w:styleId="nfaseIntensa">
    <w:name w:val="Intense Emphasis"/>
    <w:basedOn w:val="Fontepargpadro"/>
    <w:uiPriority w:val="21"/>
    <w:qFormat/>
    <w:rsid w:val="00C73D8D"/>
    <w:rPr>
      <w:i/>
      <w:iCs/>
      <w:color w:val="0F4761" w:themeColor="accent1" w:themeShade="BF"/>
    </w:rPr>
  </w:style>
  <w:style w:type="paragraph" w:styleId="CitaoIntensa">
    <w:name w:val="Intense Quote"/>
    <w:basedOn w:val="Normal"/>
    <w:next w:val="Normal"/>
    <w:link w:val="CitaoIntensaChar"/>
    <w:uiPriority w:val="30"/>
    <w:qFormat/>
    <w:rsid w:val="00C73D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73D8D"/>
    <w:rPr>
      <w:i/>
      <w:iCs/>
      <w:color w:val="0F4761" w:themeColor="accent1" w:themeShade="BF"/>
    </w:rPr>
  </w:style>
  <w:style w:type="character" w:styleId="RefernciaIntensa">
    <w:name w:val="Intense Reference"/>
    <w:basedOn w:val="Fontepargpadro"/>
    <w:uiPriority w:val="32"/>
    <w:qFormat/>
    <w:rsid w:val="00C73D8D"/>
    <w:rPr>
      <w:b/>
      <w:bCs/>
      <w:smallCaps/>
      <w:color w:val="0F4761" w:themeColor="accent1" w:themeShade="BF"/>
      <w:spacing w:val="5"/>
    </w:rPr>
  </w:style>
  <w:style w:type="character" w:styleId="Hyperlink">
    <w:name w:val="Hyperlink"/>
    <w:basedOn w:val="Fontepargpadro"/>
    <w:uiPriority w:val="99"/>
    <w:unhideWhenUsed/>
    <w:rsid w:val="003943DD"/>
    <w:rPr>
      <w:color w:val="467886" w:themeColor="hyperlink"/>
      <w:u w:val="single"/>
    </w:rPr>
  </w:style>
  <w:style w:type="character" w:styleId="MenoPendente">
    <w:name w:val="Unresolved Mention"/>
    <w:basedOn w:val="Fontepargpadro"/>
    <w:uiPriority w:val="99"/>
    <w:semiHidden/>
    <w:unhideWhenUsed/>
    <w:rsid w:val="003943DD"/>
    <w:rPr>
      <w:color w:val="605E5C"/>
      <w:shd w:val="clear" w:color="auto" w:fill="E1DFDD"/>
    </w:rPr>
  </w:style>
  <w:style w:type="character" w:styleId="HiperlinkVisitado">
    <w:name w:val="FollowedHyperlink"/>
    <w:basedOn w:val="Fontepargpadro"/>
    <w:uiPriority w:val="99"/>
    <w:semiHidden/>
    <w:unhideWhenUsed/>
    <w:rsid w:val="0076004E"/>
    <w:rPr>
      <w:color w:val="96607D" w:themeColor="followedHyperlink"/>
      <w:u w:val="single"/>
    </w:rPr>
  </w:style>
  <w:style w:type="paragraph" w:styleId="Rodap">
    <w:name w:val="footer"/>
    <w:basedOn w:val="Normal"/>
    <w:link w:val="RodapChar"/>
    <w:uiPriority w:val="99"/>
    <w:unhideWhenUsed/>
    <w:rsid w:val="009F7C0B"/>
    <w:pPr>
      <w:tabs>
        <w:tab w:val="center" w:pos="4252"/>
        <w:tab w:val="right" w:pos="8504"/>
      </w:tabs>
      <w:spacing w:after="0" w:line="240" w:lineRule="auto"/>
    </w:pPr>
  </w:style>
  <w:style w:type="character" w:customStyle="1" w:styleId="RodapChar">
    <w:name w:val="Rodapé Char"/>
    <w:basedOn w:val="Fontepargpadro"/>
    <w:link w:val="Rodap"/>
    <w:uiPriority w:val="99"/>
    <w:rsid w:val="009F7C0B"/>
  </w:style>
  <w:style w:type="table" w:styleId="Tabelacomgrade">
    <w:name w:val="Table Grid"/>
    <w:basedOn w:val="Tabelanormal"/>
    <w:uiPriority w:val="39"/>
    <w:rsid w:val="00663F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en.wikipedia.org/wiki/2020_stock_market_crash"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pt.wikipedia.org/wiki/Joesley_Day"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en.wikipedia.org/wiki/Synthetic_control_metho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yperlink" Target="https://www.tandfonline.com/doi/abs/10.1198/jasa.2009.ap0874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509</TotalTime>
  <Pages>7</Pages>
  <Words>1604</Words>
  <Characters>8665</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Rildo Demarqui</dc:creator>
  <cp:keywords/>
  <dc:description/>
  <cp:lastModifiedBy>Rildo Demarqui</cp:lastModifiedBy>
  <cp:revision>87</cp:revision>
  <dcterms:created xsi:type="dcterms:W3CDTF">2025-12-15T00:51:00Z</dcterms:created>
  <dcterms:modified xsi:type="dcterms:W3CDTF">2025-12-17T01:49:00Z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446a4b22,fd20e72,15eafe6c</vt:lpwstr>
  </property>
  <property fmtid="{D5CDD505-2E9C-101B-9397-08002B2CF9AE}" pid="3" name="ClassificationContentMarkingFooterFontProps">
    <vt:lpwstr>#737373,8,Aptos</vt:lpwstr>
  </property>
  <property fmtid="{D5CDD505-2E9C-101B-9397-08002B2CF9AE}" pid="4" name="ClassificationContentMarkingFooterText">
    <vt:lpwstr>Classificado como Público</vt:lpwstr>
  </property>
  <property fmtid="{D5CDD505-2E9C-101B-9397-08002B2CF9AE}" pid="5" name="MSIP_Label_66e7e18f-5bef-4af5-83ed-4f28cda7ebe7_Enabled">
    <vt:lpwstr>true</vt:lpwstr>
  </property>
  <property fmtid="{D5CDD505-2E9C-101B-9397-08002B2CF9AE}" pid="6" name="MSIP_Label_66e7e18f-5bef-4af5-83ed-4f28cda7ebe7_SetDate">
    <vt:lpwstr>2025-12-16T16:35:36Z</vt:lpwstr>
  </property>
  <property fmtid="{D5CDD505-2E9C-101B-9397-08002B2CF9AE}" pid="7" name="MSIP_Label_66e7e18f-5bef-4af5-83ed-4f28cda7ebe7_Method">
    <vt:lpwstr>Privileged</vt:lpwstr>
  </property>
  <property fmtid="{D5CDD505-2E9C-101B-9397-08002B2CF9AE}" pid="8" name="MSIP_Label_66e7e18f-5bef-4af5-83ed-4f28cda7ebe7_Name">
    <vt:lpwstr>66e7e18f-5bef-4af5-83ed-4f28cda7ebe7</vt:lpwstr>
  </property>
  <property fmtid="{D5CDD505-2E9C-101B-9397-08002B2CF9AE}" pid="9" name="MSIP_Label_66e7e18f-5bef-4af5-83ed-4f28cda7ebe7_SiteId">
    <vt:lpwstr>57b8c96e-ac2f-4d78-a149-f1fc6817d3c4</vt:lpwstr>
  </property>
  <property fmtid="{D5CDD505-2E9C-101B-9397-08002B2CF9AE}" pid="10" name="MSIP_Label_66e7e18f-5bef-4af5-83ed-4f28cda7ebe7_ActionId">
    <vt:lpwstr>023dc3aa-164a-42af-af47-91b26b54d33d</vt:lpwstr>
  </property>
  <property fmtid="{D5CDD505-2E9C-101B-9397-08002B2CF9AE}" pid="11" name="MSIP_Label_66e7e18f-5bef-4af5-83ed-4f28cda7ebe7_ContentBits">
    <vt:lpwstr>2</vt:lpwstr>
  </property>
  <property fmtid="{D5CDD505-2E9C-101B-9397-08002B2CF9AE}" pid="12" name="MSIP_Label_66e7e18f-5bef-4af5-83ed-4f28cda7ebe7_Tag">
    <vt:lpwstr>10, 0, 1, 1</vt:lpwstr>
  </property>
</Properties>
</file>