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B893" w14:textId="63B15FD8" w:rsidR="00196D51" w:rsidRPr="00E97956" w:rsidRDefault="00196D51" w:rsidP="00E97956">
      <w:pPr>
        <w:pStyle w:val="ListParagraph"/>
        <w:numPr>
          <w:ilvl w:val="0"/>
          <w:numId w:val="2"/>
        </w:numPr>
        <w:rPr>
          <w:rFonts w:eastAsia="Arial" w:cs="Arial"/>
          <w:b/>
          <w:bCs/>
        </w:rPr>
      </w:pPr>
      <w:r w:rsidRPr="00E97956">
        <w:rPr>
          <w:rFonts w:eastAsia="Arial" w:cs="Arial"/>
          <w:b/>
          <w:bCs/>
        </w:rPr>
        <w:t>PURPOSE</w:t>
      </w:r>
    </w:p>
    <w:p w14:paraId="275A3E4A" w14:textId="77777777" w:rsidR="00EE6362" w:rsidRPr="00E97956" w:rsidRDefault="00EE6362" w:rsidP="00E97956">
      <w:pPr>
        <w:pStyle w:val="ListParagraph"/>
        <w:ind w:left="360"/>
        <w:rPr>
          <w:rFonts w:cs="Arial"/>
          <w:b/>
          <w:szCs w:val="22"/>
        </w:rPr>
      </w:pPr>
    </w:p>
    <w:p w14:paraId="440941F9" w14:textId="67BE882B" w:rsidR="00C14E49" w:rsidRPr="00E97956" w:rsidRDefault="00C14E49" w:rsidP="00E97956">
      <w:pPr>
        <w:pStyle w:val="ListParagraph"/>
        <w:ind w:left="360"/>
        <w:rPr>
          <w:rFonts w:eastAsia="Arial" w:cs="Arial"/>
        </w:rPr>
      </w:pPr>
      <w:r w:rsidRPr="00E97956">
        <w:rPr>
          <w:rFonts w:eastAsia="Arial" w:cs="Arial"/>
        </w:rPr>
        <w:t>The purpose of this procedure is to establish the process f</w:t>
      </w:r>
      <w:r w:rsidR="00B845D1" w:rsidRPr="00E97956">
        <w:rPr>
          <w:rFonts w:eastAsia="Arial" w:cs="Arial"/>
        </w:rPr>
        <w:t>or documenting, evaluating, and investigating</w:t>
      </w:r>
      <w:r w:rsidRPr="00E97956">
        <w:rPr>
          <w:rFonts w:eastAsia="Arial" w:cs="Arial"/>
        </w:rPr>
        <w:t xml:space="preserve"> complaints to determine</w:t>
      </w:r>
      <w:r w:rsidR="13131265" w:rsidRPr="00E97956">
        <w:rPr>
          <w:rFonts w:eastAsia="Arial" w:cs="Arial"/>
        </w:rPr>
        <w:t xml:space="preserve"> (as required) </w:t>
      </w:r>
      <w:r w:rsidR="00B845D1" w:rsidRPr="00E97956">
        <w:rPr>
          <w:rFonts w:eastAsia="Arial" w:cs="Arial"/>
        </w:rPr>
        <w:t>corrective actions</w:t>
      </w:r>
      <w:r w:rsidRPr="00E97956">
        <w:rPr>
          <w:rFonts w:eastAsia="Arial" w:cs="Arial"/>
        </w:rPr>
        <w:t xml:space="preserve">, field corrections, medical device reporting (MDR), and product retrieval (recall). This procedure </w:t>
      </w:r>
      <w:r w:rsidR="00B845D1" w:rsidRPr="00E97956">
        <w:rPr>
          <w:rFonts w:eastAsia="Arial" w:cs="Arial"/>
        </w:rPr>
        <w:t xml:space="preserve">establishes </w:t>
      </w:r>
      <w:r w:rsidRPr="00E97956">
        <w:rPr>
          <w:rFonts w:eastAsia="Arial" w:cs="Arial"/>
        </w:rPr>
        <w:t>reporting methods and timelines consistent with FDA</w:t>
      </w:r>
      <w:r w:rsidR="00B845D1" w:rsidRPr="00E97956">
        <w:rPr>
          <w:rFonts w:eastAsia="Arial" w:cs="Arial"/>
        </w:rPr>
        <w:t xml:space="preserve"> guidelines</w:t>
      </w:r>
      <w:r w:rsidRPr="00E97956">
        <w:rPr>
          <w:rFonts w:eastAsia="Arial" w:cs="Arial"/>
        </w:rPr>
        <w:t>.</w:t>
      </w:r>
    </w:p>
    <w:p w14:paraId="137AD601" w14:textId="77777777" w:rsidR="00E97956" w:rsidRPr="00E97956" w:rsidRDefault="00E97956" w:rsidP="00E97956">
      <w:pPr>
        <w:pStyle w:val="ListParagraph"/>
        <w:ind w:left="360"/>
        <w:rPr>
          <w:rFonts w:eastAsia="Arial" w:cs="Arial"/>
        </w:rPr>
      </w:pPr>
    </w:p>
    <w:p w14:paraId="4F945555" w14:textId="6AA284C5" w:rsidR="00196D51" w:rsidRPr="00E97956" w:rsidRDefault="00B845D1" w:rsidP="00E97956">
      <w:pPr>
        <w:pStyle w:val="ListParagraph"/>
        <w:ind w:left="360"/>
        <w:rPr>
          <w:rFonts w:cs="Arial"/>
          <w:szCs w:val="22"/>
        </w:rPr>
      </w:pPr>
      <w:r w:rsidRPr="00E97956">
        <w:rPr>
          <w:rFonts w:cs="Arial"/>
          <w:szCs w:val="22"/>
        </w:rPr>
        <w:t>This procedure also establishes the responsibilities of GT Medical and the contract manufacturer, IsoRay, within the complaint process</w:t>
      </w:r>
      <w:r w:rsidR="00C14E49" w:rsidRPr="00E97956">
        <w:rPr>
          <w:rFonts w:cs="Arial"/>
          <w:szCs w:val="22"/>
        </w:rPr>
        <w:t>.</w:t>
      </w:r>
    </w:p>
    <w:p w14:paraId="5C53ECBF" w14:textId="77777777" w:rsidR="00C14E49" w:rsidRPr="00E97956" w:rsidRDefault="00C14E49" w:rsidP="00E97956">
      <w:pPr>
        <w:pStyle w:val="ListParagraph"/>
        <w:ind w:left="360"/>
        <w:rPr>
          <w:rFonts w:cs="Arial"/>
          <w:b/>
          <w:szCs w:val="22"/>
        </w:rPr>
      </w:pPr>
    </w:p>
    <w:p w14:paraId="720B1496" w14:textId="162AF405" w:rsidR="00C14E49" w:rsidRPr="00E97956" w:rsidRDefault="00196D51" w:rsidP="00E97956">
      <w:pPr>
        <w:pStyle w:val="ListParagraph"/>
        <w:numPr>
          <w:ilvl w:val="0"/>
          <w:numId w:val="2"/>
        </w:numPr>
        <w:rPr>
          <w:rFonts w:cs="Arial"/>
          <w:b/>
          <w:szCs w:val="22"/>
        </w:rPr>
      </w:pPr>
      <w:r w:rsidRPr="00E97956">
        <w:rPr>
          <w:rFonts w:cs="Arial"/>
          <w:b/>
          <w:szCs w:val="22"/>
        </w:rPr>
        <w:t>SCOPE</w:t>
      </w:r>
    </w:p>
    <w:p w14:paraId="0272A3B3" w14:textId="15584718" w:rsidR="00E529A7" w:rsidRPr="00E97956" w:rsidRDefault="00C14E49" w:rsidP="00E97956">
      <w:pPr>
        <w:pStyle w:val="ListParagraph"/>
        <w:ind w:left="360"/>
        <w:rPr>
          <w:rFonts w:eastAsia="Arial" w:cs="Arial"/>
          <w:b/>
          <w:bCs/>
        </w:rPr>
      </w:pPr>
      <w:r w:rsidRPr="00E97956">
        <w:rPr>
          <w:rFonts w:eastAsia="Arial" w:cs="Arial"/>
        </w:rPr>
        <w:t xml:space="preserve">This procedure applies to all </w:t>
      </w:r>
      <w:r w:rsidR="00B845D1" w:rsidRPr="00E97956">
        <w:rPr>
          <w:rFonts w:eastAsia="Arial" w:cs="Arial"/>
        </w:rPr>
        <w:t>customer feedback</w:t>
      </w:r>
      <w:r w:rsidRPr="00E97956">
        <w:rPr>
          <w:rFonts w:eastAsia="Arial" w:cs="Arial"/>
        </w:rPr>
        <w:t xml:space="preserve"> received by </w:t>
      </w:r>
      <w:r w:rsidR="009331B1" w:rsidRPr="00E97956">
        <w:rPr>
          <w:rFonts w:eastAsia="Arial" w:cs="Arial"/>
        </w:rPr>
        <w:t>GT Medical</w:t>
      </w:r>
      <w:r w:rsidRPr="00E97956">
        <w:rPr>
          <w:rFonts w:eastAsia="Arial" w:cs="Arial"/>
        </w:rPr>
        <w:t>.</w:t>
      </w:r>
    </w:p>
    <w:p w14:paraId="61CF274C" w14:textId="77777777" w:rsidR="00C14E49" w:rsidRPr="00E97956" w:rsidRDefault="00C14E49" w:rsidP="00E97956">
      <w:pPr>
        <w:rPr>
          <w:rFonts w:cs="Arial"/>
          <w:bCs/>
          <w:i/>
          <w:szCs w:val="22"/>
        </w:rPr>
      </w:pPr>
    </w:p>
    <w:p w14:paraId="4C1471ED" w14:textId="7EEFAA31" w:rsidR="00EE6362" w:rsidRPr="00E97956" w:rsidRDefault="00141117" w:rsidP="00E97956">
      <w:pPr>
        <w:pStyle w:val="ListParagraph"/>
        <w:numPr>
          <w:ilvl w:val="0"/>
          <w:numId w:val="2"/>
        </w:numPr>
        <w:rPr>
          <w:rFonts w:cs="Arial"/>
          <w:b/>
          <w:szCs w:val="22"/>
        </w:rPr>
      </w:pPr>
      <w:r w:rsidRPr="00E97956">
        <w:rPr>
          <w:rFonts w:cs="Arial"/>
          <w:b/>
          <w:szCs w:val="22"/>
        </w:rPr>
        <w:t>REFERENCES</w:t>
      </w:r>
    </w:p>
    <w:p w14:paraId="266AB05A" w14:textId="77777777" w:rsidR="00C14E49" w:rsidRPr="00E97956" w:rsidRDefault="00C14E49" w:rsidP="00E97956">
      <w:pPr>
        <w:pStyle w:val="ListParagraph"/>
        <w:numPr>
          <w:ilvl w:val="0"/>
          <w:numId w:val="6"/>
        </w:numPr>
        <w:rPr>
          <w:rFonts w:cs="Arial"/>
          <w:b/>
          <w:szCs w:val="22"/>
        </w:rPr>
      </w:pPr>
      <w:r w:rsidRPr="00E97956">
        <w:rPr>
          <w:rFonts w:eastAsia="Arial" w:cs="Arial"/>
          <w:szCs w:val="22"/>
          <w:lang w:eastAsia="en-US"/>
        </w:rPr>
        <w:t>Food and Drug Administration Code of Federal Regulations 21 CFR Part 803 – “Medical Device Reporting”</w:t>
      </w:r>
    </w:p>
    <w:p w14:paraId="0C5C77D5" w14:textId="77777777" w:rsidR="009D55E9" w:rsidRPr="00E97956" w:rsidRDefault="009D55E9" w:rsidP="00E97956">
      <w:pPr>
        <w:pStyle w:val="BodyText"/>
        <w:numPr>
          <w:ilvl w:val="0"/>
          <w:numId w:val="5"/>
        </w:numPr>
        <w:ind w:left="936"/>
        <w:jc w:val="both"/>
        <w:rPr>
          <w:rFonts w:cs="Arial"/>
        </w:rPr>
      </w:pPr>
      <w:r w:rsidRPr="00E97956">
        <w:rPr>
          <w:rFonts w:cs="Arial"/>
        </w:rPr>
        <w:t>Food and Drug Administration Code of Federal Regulations 21 CFR Part 806 - “Medical Devices; Reports of Corrections and Withdrawals”</w:t>
      </w:r>
    </w:p>
    <w:p w14:paraId="1BBB8A3A" w14:textId="77777777" w:rsidR="007116E3" w:rsidRPr="00E97956" w:rsidRDefault="009E1252" w:rsidP="00E97956">
      <w:pPr>
        <w:pStyle w:val="BodyText"/>
        <w:numPr>
          <w:ilvl w:val="0"/>
          <w:numId w:val="5"/>
        </w:numPr>
        <w:ind w:left="936"/>
        <w:rPr>
          <w:rFonts w:cs="Arial"/>
        </w:rPr>
      </w:pPr>
      <w:r w:rsidRPr="00E97956">
        <w:rPr>
          <w:rFonts w:cs="Arial"/>
        </w:rPr>
        <w:t>Medical Device Reporting for Manufacturers - Guidance for Industry and Food and Drug Administration Staff</w:t>
      </w:r>
    </w:p>
    <w:p w14:paraId="43AEBD11" w14:textId="3770828F" w:rsidR="00F765E7" w:rsidRPr="00E97956" w:rsidRDefault="00F765E7" w:rsidP="00E97956">
      <w:pPr>
        <w:pStyle w:val="BodyText"/>
        <w:numPr>
          <w:ilvl w:val="0"/>
          <w:numId w:val="5"/>
        </w:numPr>
        <w:ind w:left="936"/>
        <w:rPr>
          <w:rFonts w:cs="Arial"/>
        </w:rPr>
      </w:pPr>
      <w:r w:rsidRPr="00E97956">
        <w:rPr>
          <w:rFonts w:cs="Arial"/>
        </w:rPr>
        <w:t>21 CFR part 7, Subpart C “Recalls"</w:t>
      </w:r>
    </w:p>
    <w:p w14:paraId="724D6DDB" w14:textId="19CF2063" w:rsidR="00920758" w:rsidRPr="00E97956" w:rsidRDefault="00920758" w:rsidP="00E97956">
      <w:pPr>
        <w:pStyle w:val="BodyText"/>
        <w:numPr>
          <w:ilvl w:val="0"/>
          <w:numId w:val="5"/>
        </w:numPr>
        <w:ind w:left="936"/>
        <w:rPr>
          <w:rFonts w:cs="Arial"/>
        </w:rPr>
      </w:pPr>
      <w:r w:rsidRPr="00E97956">
        <w:rPr>
          <w:rFonts w:cs="Arial"/>
        </w:rPr>
        <w:t>45 CFR part 164.502(b), Minimum Necessary Standard</w:t>
      </w:r>
    </w:p>
    <w:p w14:paraId="5619AA2C" w14:textId="73427AF3" w:rsidR="00C14E49" w:rsidRPr="00E97956" w:rsidRDefault="007116E3" w:rsidP="00E97956">
      <w:pPr>
        <w:pStyle w:val="BodyText"/>
        <w:numPr>
          <w:ilvl w:val="0"/>
          <w:numId w:val="5"/>
        </w:numPr>
        <w:ind w:left="936"/>
        <w:rPr>
          <w:rFonts w:cs="Arial"/>
          <w:i/>
        </w:rPr>
      </w:pPr>
      <w:r w:rsidRPr="00E97956">
        <w:rPr>
          <w:rFonts w:cs="Arial"/>
        </w:rPr>
        <w:t xml:space="preserve">FDA Form 3500A Mandatory </w:t>
      </w:r>
      <w:proofErr w:type="spellStart"/>
      <w:r w:rsidRPr="00E97956">
        <w:rPr>
          <w:rFonts w:cs="Arial"/>
        </w:rPr>
        <w:t>Medwatch</w:t>
      </w:r>
      <w:proofErr w:type="spellEnd"/>
      <w:r w:rsidRPr="00E97956">
        <w:rPr>
          <w:rFonts w:cs="Arial"/>
        </w:rPr>
        <w:t xml:space="preserve"> Reporting </w:t>
      </w:r>
    </w:p>
    <w:p w14:paraId="7762DBB8" w14:textId="0A86F0CD" w:rsidR="00C14E49" w:rsidRPr="00E97956" w:rsidRDefault="00C14E49" w:rsidP="00E97956">
      <w:pPr>
        <w:pStyle w:val="BodyText"/>
        <w:numPr>
          <w:ilvl w:val="0"/>
          <w:numId w:val="5"/>
        </w:numPr>
        <w:ind w:left="936"/>
        <w:rPr>
          <w:rFonts w:cs="Arial"/>
        </w:rPr>
      </w:pPr>
      <w:bookmarkStart w:id="0" w:name="QualityManual"/>
      <w:r w:rsidRPr="00E97956">
        <w:rPr>
          <w:rFonts w:cs="Arial"/>
        </w:rPr>
        <w:t>SOP-00</w:t>
      </w:r>
      <w:r w:rsidR="1BF9830A" w:rsidRPr="00E97956">
        <w:rPr>
          <w:rFonts w:cs="Arial"/>
        </w:rPr>
        <w:t>1</w:t>
      </w:r>
      <w:r w:rsidRPr="00E97956">
        <w:rPr>
          <w:rFonts w:cs="Arial"/>
        </w:rPr>
        <w:t>, Quality Manual</w:t>
      </w:r>
      <w:bookmarkEnd w:id="0"/>
    </w:p>
    <w:p w14:paraId="1E56201B" w14:textId="23A50E71" w:rsidR="00C14E49" w:rsidRPr="00E97956" w:rsidRDefault="00C14E49" w:rsidP="00E97956">
      <w:pPr>
        <w:pStyle w:val="BodyText"/>
        <w:numPr>
          <w:ilvl w:val="0"/>
          <w:numId w:val="5"/>
        </w:numPr>
        <w:ind w:left="936"/>
        <w:rPr>
          <w:rFonts w:cs="Arial"/>
        </w:rPr>
      </w:pPr>
      <w:bookmarkStart w:id="1" w:name="CAPA_name"/>
      <w:r w:rsidRPr="00E97956">
        <w:rPr>
          <w:rFonts w:cs="Arial"/>
        </w:rPr>
        <w:t>SOP-</w:t>
      </w:r>
      <w:r w:rsidR="002A0681" w:rsidRPr="00E97956">
        <w:rPr>
          <w:rFonts w:cs="Arial"/>
        </w:rPr>
        <w:t>002</w:t>
      </w:r>
      <w:r w:rsidRPr="00E97956">
        <w:rPr>
          <w:rFonts w:cs="Arial"/>
        </w:rPr>
        <w:t xml:space="preserve">, </w:t>
      </w:r>
      <w:r w:rsidR="008E1F21" w:rsidRPr="00E97956">
        <w:rPr>
          <w:rFonts w:cs="Arial"/>
        </w:rPr>
        <w:t>Purchasing and Supplier Controls</w:t>
      </w:r>
      <w:bookmarkEnd w:id="1"/>
    </w:p>
    <w:p w14:paraId="691A686C" w14:textId="1A2AF3F1" w:rsidR="00C14E49" w:rsidRPr="00E97956" w:rsidRDefault="00C14E49" w:rsidP="00E97956">
      <w:pPr>
        <w:pStyle w:val="BodyText"/>
        <w:numPr>
          <w:ilvl w:val="0"/>
          <w:numId w:val="5"/>
        </w:numPr>
        <w:ind w:left="936"/>
        <w:rPr>
          <w:rFonts w:cs="Arial"/>
        </w:rPr>
      </w:pPr>
      <w:bookmarkStart w:id="2" w:name="CAPALog_name"/>
      <w:r w:rsidRPr="00E97956">
        <w:rPr>
          <w:rFonts w:cs="Arial"/>
        </w:rPr>
        <w:t>F-</w:t>
      </w:r>
      <w:r w:rsidR="002A0681" w:rsidRPr="00E97956">
        <w:rPr>
          <w:rFonts w:cs="Arial"/>
        </w:rPr>
        <w:t>002</w:t>
      </w:r>
      <w:r w:rsidR="008E1F21" w:rsidRPr="00E97956">
        <w:rPr>
          <w:rFonts w:cs="Arial"/>
        </w:rPr>
        <w:t>F</w:t>
      </w:r>
      <w:r w:rsidRPr="00E97956">
        <w:rPr>
          <w:rFonts w:cs="Arial"/>
        </w:rPr>
        <w:t xml:space="preserve">, </w:t>
      </w:r>
      <w:r w:rsidR="008E1F21" w:rsidRPr="00E97956">
        <w:rPr>
          <w:rFonts w:cs="Arial"/>
        </w:rPr>
        <w:t>Supplier Corrective Action Request (SCAR)</w:t>
      </w:r>
      <w:bookmarkEnd w:id="2"/>
    </w:p>
    <w:p w14:paraId="65E7B8D9" w14:textId="74EFF731" w:rsidR="00C14E49" w:rsidRPr="00E97956" w:rsidRDefault="00C14E49" w:rsidP="00E97956">
      <w:pPr>
        <w:pStyle w:val="BodyText"/>
        <w:numPr>
          <w:ilvl w:val="0"/>
          <w:numId w:val="5"/>
        </w:numPr>
        <w:ind w:left="936"/>
        <w:rPr>
          <w:rFonts w:cs="Arial"/>
        </w:rPr>
      </w:pPr>
      <w:bookmarkStart w:id="3" w:name="ComplaintForm_name"/>
      <w:r w:rsidRPr="00E97956">
        <w:rPr>
          <w:rFonts w:cs="Arial"/>
        </w:rPr>
        <w:t>F-</w:t>
      </w:r>
      <w:r w:rsidR="002A0681" w:rsidRPr="00E97956">
        <w:rPr>
          <w:rFonts w:cs="Arial"/>
        </w:rPr>
        <w:t>00</w:t>
      </w:r>
      <w:r w:rsidR="00D60507">
        <w:rPr>
          <w:rFonts w:cs="Arial"/>
        </w:rPr>
        <w:t>3</w:t>
      </w:r>
      <w:r w:rsidRPr="00E97956">
        <w:rPr>
          <w:rFonts w:cs="Arial"/>
        </w:rPr>
        <w:t>A, Complaint</w:t>
      </w:r>
      <w:r w:rsidR="00684356" w:rsidRPr="00E97956">
        <w:rPr>
          <w:rFonts w:cs="Arial"/>
        </w:rPr>
        <w:t xml:space="preserve"> Handling</w:t>
      </w:r>
      <w:r w:rsidRPr="00E97956">
        <w:rPr>
          <w:rFonts w:cs="Arial"/>
        </w:rPr>
        <w:t xml:space="preserve"> Form</w:t>
      </w:r>
      <w:bookmarkEnd w:id="3"/>
    </w:p>
    <w:p w14:paraId="05AB58C4" w14:textId="0E10D994" w:rsidR="00C14E49" w:rsidRPr="00E97956" w:rsidRDefault="00C14E49" w:rsidP="00E97956">
      <w:pPr>
        <w:pStyle w:val="BodyText"/>
        <w:numPr>
          <w:ilvl w:val="0"/>
          <w:numId w:val="5"/>
        </w:numPr>
        <w:ind w:left="936"/>
        <w:rPr>
          <w:rFonts w:cs="Arial"/>
        </w:rPr>
      </w:pPr>
      <w:bookmarkStart w:id="4" w:name="ComplaintLog_name"/>
      <w:r w:rsidRPr="00E97956">
        <w:rPr>
          <w:rFonts w:cs="Arial"/>
        </w:rPr>
        <w:t>F-</w:t>
      </w:r>
      <w:r w:rsidR="002A0681" w:rsidRPr="00E97956">
        <w:rPr>
          <w:rFonts w:cs="Arial"/>
        </w:rPr>
        <w:t>00</w:t>
      </w:r>
      <w:r w:rsidR="00D60507">
        <w:rPr>
          <w:rFonts w:cs="Arial"/>
        </w:rPr>
        <w:t>3</w:t>
      </w:r>
      <w:r w:rsidRPr="00E97956">
        <w:rPr>
          <w:rFonts w:cs="Arial"/>
        </w:rPr>
        <w:t xml:space="preserve">B, </w:t>
      </w:r>
      <w:bookmarkEnd w:id="4"/>
      <w:r w:rsidR="00C27928">
        <w:rPr>
          <w:rFonts w:cs="Arial"/>
        </w:rPr>
        <w:t>Complaint / Feedback Log</w:t>
      </w:r>
    </w:p>
    <w:p w14:paraId="7494696F" w14:textId="77777777" w:rsidR="00323D11" w:rsidRPr="00E97956" w:rsidRDefault="00323D11" w:rsidP="00E97956">
      <w:pPr>
        <w:pStyle w:val="BodyText"/>
        <w:ind w:left="936"/>
        <w:rPr>
          <w:rFonts w:cs="Arial"/>
        </w:rPr>
      </w:pPr>
    </w:p>
    <w:p w14:paraId="7B75BCA1" w14:textId="77777777" w:rsidR="00196D51" w:rsidRPr="00E97956" w:rsidRDefault="00196D51" w:rsidP="00E97956">
      <w:pPr>
        <w:pStyle w:val="ListParagraph"/>
        <w:numPr>
          <w:ilvl w:val="0"/>
          <w:numId w:val="2"/>
        </w:numPr>
        <w:rPr>
          <w:rFonts w:cs="Arial"/>
          <w:b/>
          <w:szCs w:val="22"/>
        </w:rPr>
      </w:pPr>
      <w:r w:rsidRPr="00E97956">
        <w:rPr>
          <w:rFonts w:cs="Arial"/>
          <w:b/>
          <w:szCs w:val="22"/>
        </w:rPr>
        <w:t>DEFINITIONS</w:t>
      </w:r>
    </w:p>
    <w:p w14:paraId="0065A5CC" w14:textId="77777777" w:rsidR="00C412AF" w:rsidRPr="00E97956" w:rsidRDefault="00C412AF" w:rsidP="00E97956">
      <w:pPr>
        <w:pStyle w:val="ListParagraph"/>
        <w:ind w:left="792"/>
        <w:rPr>
          <w:rFonts w:cs="Arial"/>
          <w:szCs w:val="22"/>
          <w:u w:val="single"/>
        </w:rPr>
      </w:pPr>
    </w:p>
    <w:p w14:paraId="1785CF77" w14:textId="6A70ABEB" w:rsidR="00205BE5" w:rsidRPr="00E97956" w:rsidRDefault="00205BE5" w:rsidP="00E97956">
      <w:pPr>
        <w:pStyle w:val="ListParagraph"/>
        <w:numPr>
          <w:ilvl w:val="1"/>
          <w:numId w:val="2"/>
        </w:numPr>
        <w:rPr>
          <w:rFonts w:eastAsia="Arial" w:cs="Arial"/>
        </w:rPr>
      </w:pPr>
      <w:r w:rsidRPr="00E97956">
        <w:rPr>
          <w:rFonts w:eastAsia="Arial" w:cs="Arial"/>
          <w:u w:val="single"/>
        </w:rPr>
        <w:t>Complaint:</w:t>
      </w:r>
      <w:r w:rsidRPr="00E97956">
        <w:rPr>
          <w:rFonts w:eastAsia="Arial" w:cs="Arial"/>
        </w:rPr>
        <w:t xml:space="preserve"> Any written, electronic or oral communication that alleges deficiencies related to the identity, quality, durability, reliability, safety, effectiveness, or performance of a </w:t>
      </w:r>
      <w:r w:rsidR="00C65897" w:rsidRPr="00E97956">
        <w:rPr>
          <w:rFonts w:eastAsia="Arial" w:cs="Arial"/>
        </w:rPr>
        <w:t>product</w:t>
      </w:r>
      <w:r w:rsidRPr="00E97956">
        <w:rPr>
          <w:rFonts w:eastAsia="Arial" w:cs="Arial"/>
        </w:rPr>
        <w:t xml:space="preserve"> after it is released for distribution.</w:t>
      </w:r>
    </w:p>
    <w:p w14:paraId="7F80421D" w14:textId="77777777" w:rsidR="00E97956" w:rsidRPr="00E97956" w:rsidRDefault="00E97956" w:rsidP="00E97956">
      <w:pPr>
        <w:pStyle w:val="ListParagraph"/>
        <w:ind w:left="792"/>
        <w:rPr>
          <w:rFonts w:eastAsia="Arial" w:cs="Arial"/>
        </w:rPr>
      </w:pPr>
    </w:p>
    <w:p w14:paraId="1F7ABFF3" w14:textId="1A68015C" w:rsidR="00DB2DFE" w:rsidRPr="00E97956" w:rsidRDefault="00DB2DFE" w:rsidP="00E97956">
      <w:pPr>
        <w:pStyle w:val="ListParagraph"/>
        <w:numPr>
          <w:ilvl w:val="1"/>
          <w:numId w:val="2"/>
        </w:numPr>
        <w:rPr>
          <w:rFonts w:eastAsia="Arial" w:cs="Arial"/>
        </w:rPr>
      </w:pPr>
      <w:r w:rsidRPr="00E97956">
        <w:rPr>
          <w:rFonts w:eastAsia="Arial" w:cs="Arial"/>
          <w:u w:val="single"/>
        </w:rPr>
        <w:t>Designee</w:t>
      </w:r>
      <w:r w:rsidRPr="00E97956">
        <w:rPr>
          <w:rFonts w:eastAsia="Arial" w:cs="Arial"/>
        </w:rPr>
        <w:t>: Personnel given responsibility for one or more aspects of complaint processing. Designees will be competent (through training or other means) to perform their responsibilities.</w:t>
      </w:r>
      <w:r w:rsidR="00E97956">
        <w:rPr>
          <w:rFonts w:eastAsia="Arial" w:cs="Arial"/>
        </w:rPr>
        <w:t xml:space="preserve"> </w:t>
      </w:r>
    </w:p>
    <w:p w14:paraId="1B93BFBD" w14:textId="77777777" w:rsidR="00E97956" w:rsidRPr="00E97956" w:rsidRDefault="00E97956" w:rsidP="00E97956">
      <w:pPr>
        <w:rPr>
          <w:rFonts w:eastAsia="Arial" w:cs="Arial"/>
        </w:rPr>
      </w:pPr>
    </w:p>
    <w:p w14:paraId="1AD70C42" w14:textId="6E63B2C6" w:rsidR="00F06A7F" w:rsidRPr="007F1307" w:rsidRDefault="1A0CA66E" w:rsidP="00E97956">
      <w:pPr>
        <w:pStyle w:val="ListParagraph"/>
        <w:numPr>
          <w:ilvl w:val="1"/>
          <w:numId w:val="2"/>
        </w:numPr>
        <w:rPr>
          <w:rFonts w:eastAsia="Arial" w:cs="Arial"/>
          <w:u w:val="single"/>
        </w:rPr>
      </w:pPr>
      <w:r w:rsidRPr="00E97956">
        <w:rPr>
          <w:rFonts w:eastAsia="Arial" w:cs="Arial"/>
          <w:u w:val="single"/>
        </w:rPr>
        <w:t>General Feedback:</w:t>
      </w:r>
      <w:r w:rsidRPr="00E97956">
        <w:rPr>
          <w:rFonts w:eastAsia="Arial" w:cs="Arial"/>
        </w:rPr>
        <w:t xml:space="preserve"> Any customer feedback that </w:t>
      </w:r>
      <w:r w:rsidR="00610E66">
        <w:rPr>
          <w:rFonts w:eastAsia="Arial" w:cs="Arial"/>
        </w:rPr>
        <w:t>does</w:t>
      </w:r>
      <w:r w:rsidR="00610E66" w:rsidRPr="00E97956">
        <w:rPr>
          <w:rFonts w:eastAsia="Arial" w:cs="Arial"/>
        </w:rPr>
        <w:t xml:space="preserve"> </w:t>
      </w:r>
      <w:r w:rsidRPr="00E97956">
        <w:rPr>
          <w:rFonts w:eastAsia="Arial" w:cs="Arial"/>
        </w:rPr>
        <w:t xml:space="preserve">not </w:t>
      </w:r>
      <w:r w:rsidR="00610E66">
        <w:rPr>
          <w:rFonts w:eastAsia="Arial" w:cs="Arial"/>
        </w:rPr>
        <w:t xml:space="preserve">meet the definition of </w:t>
      </w:r>
      <w:r w:rsidRPr="00E97956">
        <w:rPr>
          <w:rFonts w:eastAsia="Arial" w:cs="Arial"/>
        </w:rPr>
        <w:t>a complaint</w:t>
      </w:r>
      <w:r w:rsidR="00610E66">
        <w:rPr>
          <w:rFonts w:eastAsia="Arial" w:cs="Arial"/>
        </w:rPr>
        <w:t xml:space="preserve">. </w:t>
      </w:r>
    </w:p>
    <w:p w14:paraId="01CE5A7B" w14:textId="77777777" w:rsidR="002D1E99" w:rsidRPr="007F1307" w:rsidRDefault="002D1E99" w:rsidP="007F1307">
      <w:pPr>
        <w:rPr>
          <w:rFonts w:eastAsia="Arial" w:cs="Arial"/>
          <w:u w:val="single"/>
        </w:rPr>
      </w:pPr>
    </w:p>
    <w:p w14:paraId="0F192138" w14:textId="5A0B5738" w:rsidR="00E97956" w:rsidRPr="004C5BC4" w:rsidRDefault="004C5BC4" w:rsidP="004C5BC4">
      <w:pPr>
        <w:pStyle w:val="ListParagraph"/>
        <w:numPr>
          <w:ilvl w:val="1"/>
          <w:numId w:val="2"/>
        </w:numPr>
        <w:rPr>
          <w:rFonts w:eastAsia="Arial" w:cs="Arial"/>
          <w:u w:val="single"/>
        </w:rPr>
      </w:pPr>
      <w:r w:rsidRPr="00E97956">
        <w:rPr>
          <w:rFonts w:eastAsia="Arial" w:cs="Arial"/>
          <w:u w:val="single"/>
        </w:rPr>
        <w:t>Protected Health Information (PHI):</w:t>
      </w:r>
      <w:r>
        <w:rPr>
          <w:rFonts w:eastAsia="Arial" w:cs="Arial"/>
        </w:rPr>
        <w:t xml:space="preserve"> </w:t>
      </w:r>
      <w:r w:rsidRPr="00E97956">
        <w:rPr>
          <w:rFonts w:eastAsia="Arial" w:cs="Arial"/>
        </w:rPr>
        <w:t>individually identifying health information, including demographic information, in any form or medium (electronic, paper, verbal, etc.) (excludes, employment records, individuals deceased 50+ years, etc.). Reference 45 CFR 160.103.</w:t>
      </w:r>
      <w:r>
        <w:rPr>
          <w:rFonts w:eastAsia="Arial" w:cs="Arial"/>
          <w:u w:val="single"/>
        </w:rPr>
        <w:t xml:space="preserve"> </w:t>
      </w:r>
      <w:r w:rsidRPr="00E97956">
        <w:rPr>
          <w:rFonts w:eastAsia="Arial" w:cs="Arial"/>
          <w:u w:val="single"/>
        </w:rPr>
        <w:t xml:space="preserve"> </w:t>
      </w:r>
    </w:p>
    <w:p w14:paraId="0A6B6008" w14:textId="45BBB3FF" w:rsidR="000D5F0F" w:rsidRPr="00E97956" w:rsidRDefault="000D5F0F" w:rsidP="00E97956">
      <w:pPr>
        <w:rPr>
          <w:rFonts w:eastAsia="Arial" w:cs="Arial"/>
          <w:u w:val="single"/>
        </w:rPr>
      </w:pPr>
    </w:p>
    <w:p w14:paraId="3DDDC87C" w14:textId="15D1ACDF" w:rsidR="00205BE5" w:rsidRPr="00E97956" w:rsidRDefault="00205BE5" w:rsidP="00E97956">
      <w:pPr>
        <w:pStyle w:val="ListParagraph"/>
        <w:numPr>
          <w:ilvl w:val="1"/>
          <w:numId w:val="2"/>
        </w:numPr>
        <w:rPr>
          <w:rFonts w:cs="Arial"/>
          <w:szCs w:val="22"/>
        </w:rPr>
      </w:pPr>
      <w:r w:rsidRPr="00E97956">
        <w:rPr>
          <w:rFonts w:cs="Arial"/>
          <w:szCs w:val="22"/>
          <w:u w:val="single"/>
        </w:rPr>
        <w:t>Reportable Event</w:t>
      </w:r>
      <w:r w:rsidR="00D54921" w:rsidRPr="00E97956">
        <w:rPr>
          <w:rFonts w:cs="Arial"/>
          <w:szCs w:val="22"/>
          <w:u w:val="single"/>
        </w:rPr>
        <w:t>:</w:t>
      </w:r>
      <w:r w:rsidR="00D54921" w:rsidRPr="00E97956">
        <w:rPr>
          <w:rFonts w:cs="Arial"/>
          <w:szCs w:val="22"/>
        </w:rPr>
        <w:t xml:space="preserve"> </w:t>
      </w:r>
      <w:r w:rsidRPr="00E97956">
        <w:rPr>
          <w:rFonts w:cs="Arial"/>
          <w:szCs w:val="22"/>
        </w:rPr>
        <w:t>The adverse events or problems that the medical device regulations require to be reported.</w:t>
      </w:r>
      <w:r w:rsidR="002147A4" w:rsidRPr="00E97956">
        <w:rPr>
          <w:rFonts w:cs="Arial"/>
          <w:szCs w:val="22"/>
        </w:rPr>
        <w:t xml:space="preserve"> Under 21 CFR Part 803 or 806</w:t>
      </w:r>
      <w:r w:rsidRPr="00E97956">
        <w:rPr>
          <w:rFonts w:cs="Arial"/>
          <w:szCs w:val="22"/>
        </w:rPr>
        <w:t>A</w:t>
      </w:r>
      <w:r w:rsidR="002147A4" w:rsidRPr="00E97956">
        <w:rPr>
          <w:rFonts w:cs="Arial"/>
          <w:szCs w:val="22"/>
        </w:rPr>
        <w:t>, a</w:t>
      </w:r>
      <w:r w:rsidRPr="00E97956">
        <w:rPr>
          <w:rFonts w:cs="Arial"/>
          <w:szCs w:val="22"/>
        </w:rPr>
        <w:t xml:space="preserve"> report must be submitted to the FDA whenever </w:t>
      </w:r>
      <w:r w:rsidR="009331B1" w:rsidRPr="00E97956">
        <w:rPr>
          <w:rFonts w:cs="Arial"/>
          <w:szCs w:val="22"/>
        </w:rPr>
        <w:t xml:space="preserve">the </w:t>
      </w:r>
      <w:r w:rsidRPr="00E97956">
        <w:rPr>
          <w:rFonts w:cs="Arial"/>
          <w:szCs w:val="22"/>
        </w:rPr>
        <w:t>manufacturer becomes aware of information that reasonably suggests that one of its devices:</w:t>
      </w:r>
    </w:p>
    <w:p w14:paraId="0690AB75" w14:textId="77777777" w:rsidR="002147A4" w:rsidRPr="00E97956" w:rsidRDefault="00205BE5" w:rsidP="00E97956">
      <w:pPr>
        <w:pStyle w:val="ListParagraph"/>
        <w:numPr>
          <w:ilvl w:val="0"/>
          <w:numId w:val="9"/>
        </w:numPr>
        <w:rPr>
          <w:rFonts w:cs="Arial"/>
          <w:szCs w:val="22"/>
        </w:rPr>
      </w:pPr>
      <w:r w:rsidRPr="00E97956">
        <w:rPr>
          <w:rFonts w:cs="Arial"/>
          <w:szCs w:val="22"/>
        </w:rPr>
        <w:lastRenderedPageBreak/>
        <w:t xml:space="preserve">May have </w:t>
      </w:r>
      <w:r w:rsidRPr="00E97956">
        <w:rPr>
          <w:rFonts w:cs="Arial"/>
          <w:b/>
          <w:szCs w:val="22"/>
          <w:u w:val="single"/>
        </w:rPr>
        <w:t>caused or contributed</w:t>
      </w:r>
      <w:r w:rsidRPr="00E97956">
        <w:rPr>
          <w:rFonts w:cs="Arial"/>
          <w:szCs w:val="22"/>
        </w:rPr>
        <w:t xml:space="preserve"> to a death or a serious deterioration in the state of health or serious injury, or</w:t>
      </w:r>
    </w:p>
    <w:p w14:paraId="54C7A530" w14:textId="77777777" w:rsidR="002147A4" w:rsidRPr="00E97956" w:rsidRDefault="00205BE5" w:rsidP="00E97956">
      <w:pPr>
        <w:pStyle w:val="ListParagraph"/>
        <w:numPr>
          <w:ilvl w:val="0"/>
          <w:numId w:val="9"/>
        </w:numPr>
        <w:rPr>
          <w:rFonts w:cs="Arial"/>
          <w:szCs w:val="22"/>
        </w:rPr>
      </w:pPr>
      <w:r w:rsidRPr="00E97956">
        <w:rPr>
          <w:rFonts w:cs="Arial"/>
          <w:szCs w:val="22"/>
        </w:rPr>
        <w:t>Has malfunctioned and, if the malfunction recurs, is likely to cause or contribute to a death or a serious deterioration in the state of health or serious injury, or</w:t>
      </w:r>
    </w:p>
    <w:p w14:paraId="00D4BA3C" w14:textId="77777777" w:rsidR="002147A4" w:rsidRPr="00E97956" w:rsidRDefault="00205BE5" w:rsidP="00E97956">
      <w:pPr>
        <w:pStyle w:val="ListParagraph"/>
        <w:numPr>
          <w:ilvl w:val="0"/>
          <w:numId w:val="9"/>
        </w:numPr>
        <w:rPr>
          <w:rFonts w:cs="Arial"/>
          <w:szCs w:val="22"/>
          <w:u w:val="single"/>
        </w:rPr>
      </w:pPr>
      <w:r w:rsidRPr="00E97956">
        <w:rPr>
          <w:rFonts w:cs="Arial"/>
          <w:szCs w:val="22"/>
        </w:rPr>
        <w:t>A device which shows no malfunction or deterioration, but nevertheless has a characteristic which is likely to cause or contribute to a death or a serious deterioration in the state of health or serious injury (example: omissions or inaccuracies in the instructions leaflet), should be reported as a near incident.</w:t>
      </w:r>
    </w:p>
    <w:p w14:paraId="4698C03E" w14:textId="7BF949F0" w:rsidR="00D54921" w:rsidRPr="00E97956" w:rsidRDefault="002147A4" w:rsidP="00E97956">
      <w:pPr>
        <w:pStyle w:val="ListParagraph"/>
        <w:ind w:left="1512"/>
        <w:rPr>
          <w:rFonts w:cs="Arial"/>
          <w:szCs w:val="22"/>
          <w:u w:val="single"/>
        </w:rPr>
      </w:pPr>
      <w:r w:rsidRPr="00E97956">
        <w:rPr>
          <w:rFonts w:cs="Arial"/>
          <w:szCs w:val="22"/>
          <w:u w:val="single"/>
        </w:rPr>
        <w:t xml:space="preserve"> </w:t>
      </w:r>
    </w:p>
    <w:p w14:paraId="5C6A93FF" w14:textId="77777777" w:rsidR="002147A4" w:rsidRPr="00E97956" w:rsidRDefault="002147A4" w:rsidP="00E97956">
      <w:pPr>
        <w:pStyle w:val="ListParagraph"/>
        <w:numPr>
          <w:ilvl w:val="1"/>
          <w:numId w:val="2"/>
        </w:numPr>
        <w:rPr>
          <w:rFonts w:cs="Arial"/>
          <w:szCs w:val="22"/>
        </w:rPr>
      </w:pPr>
      <w:r w:rsidRPr="00E97956">
        <w:rPr>
          <w:rFonts w:cs="Arial"/>
          <w:szCs w:val="22"/>
          <w:u w:val="single"/>
        </w:rPr>
        <w:t>Serious deterioration of health / injury:</w:t>
      </w:r>
      <w:r w:rsidRPr="00E97956">
        <w:rPr>
          <w:rFonts w:cs="Arial"/>
          <w:szCs w:val="22"/>
        </w:rPr>
        <w:t xml:space="preserve"> The adverse event in which any one of the following occurs:</w:t>
      </w:r>
    </w:p>
    <w:p w14:paraId="48742589" w14:textId="77777777" w:rsidR="002147A4" w:rsidRPr="00E97956" w:rsidRDefault="002147A4" w:rsidP="00E97956">
      <w:pPr>
        <w:pStyle w:val="ListParagraph"/>
        <w:numPr>
          <w:ilvl w:val="0"/>
          <w:numId w:val="11"/>
        </w:numPr>
        <w:rPr>
          <w:rFonts w:cs="Arial"/>
          <w:szCs w:val="22"/>
        </w:rPr>
      </w:pPr>
      <w:r w:rsidRPr="00E97956">
        <w:rPr>
          <w:rFonts w:cs="Arial"/>
          <w:szCs w:val="22"/>
        </w:rPr>
        <w:t>Life threatening illness / injury;</w:t>
      </w:r>
    </w:p>
    <w:p w14:paraId="53D8C4D3" w14:textId="77777777" w:rsidR="002147A4" w:rsidRPr="00E97956" w:rsidRDefault="002147A4" w:rsidP="00E97956">
      <w:pPr>
        <w:pStyle w:val="ListParagraph"/>
        <w:numPr>
          <w:ilvl w:val="0"/>
          <w:numId w:val="11"/>
        </w:numPr>
        <w:rPr>
          <w:rFonts w:cs="Arial"/>
          <w:szCs w:val="22"/>
        </w:rPr>
      </w:pPr>
      <w:r w:rsidRPr="00E97956">
        <w:rPr>
          <w:rFonts w:cs="Arial"/>
          <w:szCs w:val="22"/>
        </w:rPr>
        <w:t xml:space="preserve">Injuries or illness that result in permanent damage to a body structure or permanent impairment of a body function; </w:t>
      </w:r>
    </w:p>
    <w:p w14:paraId="188DBFED" w14:textId="3EDB7F47" w:rsidR="002147A4" w:rsidRPr="00E97956" w:rsidRDefault="00BA513D" w:rsidP="00E97956">
      <w:pPr>
        <w:pStyle w:val="ListParagraph"/>
        <w:numPr>
          <w:ilvl w:val="0"/>
          <w:numId w:val="11"/>
        </w:numPr>
        <w:rPr>
          <w:rFonts w:cs="Arial"/>
          <w:szCs w:val="22"/>
        </w:rPr>
      </w:pPr>
      <w:r w:rsidRPr="00E97956">
        <w:rPr>
          <w:rFonts w:cs="Arial"/>
          <w:szCs w:val="22"/>
        </w:rPr>
        <w:t xml:space="preserve">A condition necessitating </w:t>
      </w:r>
      <w:r w:rsidR="002147A4" w:rsidRPr="00E97956">
        <w:rPr>
          <w:rFonts w:cs="Arial"/>
          <w:szCs w:val="22"/>
        </w:rPr>
        <w:t xml:space="preserve">medical or surgical to prevent the above conditions; </w:t>
      </w:r>
    </w:p>
    <w:p w14:paraId="79865AA6" w14:textId="77777777" w:rsidR="002147A4" w:rsidRPr="00E97956" w:rsidRDefault="002147A4" w:rsidP="00E97956">
      <w:pPr>
        <w:pStyle w:val="ListParagraph"/>
        <w:numPr>
          <w:ilvl w:val="0"/>
          <w:numId w:val="11"/>
        </w:numPr>
        <w:rPr>
          <w:rFonts w:cs="Arial"/>
          <w:szCs w:val="22"/>
        </w:rPr>
      </w:pPr>
      <w:r w:rsidRPr="00E97956">
        <w:rPr>
          <w:rFonts w:cs="Arial"/>
          <w:szCs w:val="22"/>
        </w:rPr>
        <w:t>Any indirect harm as a consequence of an incorrect diagnosis or IVD test results when used within the manufacturer instruction for use; or</w:t>
      </w:r>
    </w:p>
    <w:p w14:paraId="2561AB06" w14:textId="325092A8" w:rsidR="002147A4" w:rsidRPr="00E97956" w:rsidRDefault="002147A4" w:rsidP="00E97956">
      <w:pPr>
        <w:pStyle w:val="ListParagraph"/>
        <w:numPr>
          <w:ilvl w:val="0"/>
          <w:numId w:val="11"/>
        </w:numPr>
        <w:rPr>
          <w:rFonts w:cs="Arial"/>
          <w:szCs w:val="22"/>
        </w:rPr>
      </w:pPr>
      <w:r w:rsidRPr="00E97956">
        <w:rPr>
          <w:rFonts w:cs="Arial"/>
          <w:szCs w:val="22"/>
        </w:rPr>
        <w:t>Fetal distress, fetal death or congenital abnormality or birth defects</w:t>
      </w:r>
    </w:p>
    <w:p w14:paraId="21EC5617" w14:textId="77777777" w:rsidR="005C6591" w:rsidRPr="00E97956" w:rsidRDefault="005C6591" w:rsidP="00E97956">
      <w:pPr>
        <w:pStyle w:val="ListParagraph"/>
        <w:ind w:left="792"/>
        <w:rPr>
          <w:rFonts w:cs="Arial"/>
          <w:i/>
          <w:szCs w:val="22"/>
        </w:rPr>
      </w:pPr>
    </w:p>
    <w:p w14:paraId="6521D499" w14:textId="57E2D28D" w:rsidR="00EE6362" w:rsidRPr="00E97956" w:rsidRDefault="00446E1C" w:rsidP="00E97956">
      <w:pPr>
        <w:pStyle w:val="ListParagraph"/>
        <w:numPr>
          <w:ilvl w:val="0"/>
          <w:numId w:val="2"/>
        </w:numPr>
        <w:rPr>
          <w:rFonts w:cs="Arial"/>
          <w:b/>
          <w:szCs w:val="22"/>
        </w:rPr>
      </w:pPr>
      <w:r w:rsidRPr="00E97956">
        <w:rPr>
          <w:rFonts w:cs="Arial"/>
          <w:b/>
          <w:szCs w:val="22"/>
        </w:rPr>
        <w:t>RESPONSIBILITY</w:t>
      </w:r>
    </w:p>
    <w:p w14:paraId="33B4570C" w14:textId="77777777" w:rsidR="00E97956" w:rsidRPr="00E97956" w:rsidRDefault="00E97956" w:rsidP="00E97956">
      <w:pPr>
        <w:pStyle w:val="ListParagraph"/>
        <w:ind w:left="360"/>
        <w:rPr>
          <w:rFonts w:cs="Arial"/>
          <w:b/>
          <w:szCs w:val="22"/>
        </w:rPr>
      </w:pPr>
    </w:p>
    <w:p w14:paraId="66FC2365" w14:textId="534AC570" w:rsidR="00B845D1" w:rsidRPr="00E97956" w:rsidRDefault="00684356" w:rsidP="00E97956">
      <w:pPr>
        <w:pStyle w:val="ListParagraph"/>
        <w:numPr>
          <w:ilvl w:val="1"/>
          <w:numId w:val="2"/>
        </w:numPr>
        <w:rPr>
          <w:rFonts w:cs="Arial"/>
          <w:szCs w:val="22"/>
        </w:rPr>
      </w:pPr>
      <w:r w:rsidRPr="00E97956">
        <w:rPr>
          <w:rFonts w:cs="Arial"/>
          <w:szCs w:val="22"/>
        </w:rPr>
        <w:t xml:space="preserve">Any employee of </w:t>
      </w:r>
      <w:r w:rsidR="009331B1" w:rsidRPr="00E97956">
        <w:rPr>
          <w:rFonts w:cs="Arial"/>
          <w:szCs w:val="22"/>
        </w:rPr>
        <w:t>GT Medical</w:t>
      </w:r>
      <w:r w:rsidRPr="00E97956">
        <w:rPr>
          <w:rFonts w:cs="Arial"/>
          <w:szCs w:val="22"/>
        </w:rPr>
        <w:t xml:space="preserve"> who receives or otherwise becomes aware of information that a complaint or potential MDR reportable event has occurred is responsible for notifying </w:t>
      </w:r>
      <w:r w:rsidR="00B845D1" w:rsidRPr="00E97956">
        <w:rPr>
          <w:rFonts w:cs="Arial"/>
          <w:szCs w:val="22"/>
        </w:rPr>
        <w:t>Operations or designee within 24</w:t>
      </w:r>
      <w:r w:rsidR="00886BB8" w:rsidRPr="00E97956">
        <w:rPr>
          <w:rFonts w:cs="Arial"/>
          <w:szCs w:val="22"/>
        </w:rPr>
        <w:t xml:space="preserve"> hours so that </w:t>
      </w:r>
      <w:r w:rsidR="00B845D1" w:rsidRPr="00E97956">
        <w:rPr>
          <w:rFonts w:cs="Arial"/>
          <w:szCs w:val="22"/>
        </w:rPr>
        <w:t>complaint documentation and evaluation may be initiated.</w:t>
      </w:r>
      <w:r w:rsidR="00E97956">
        <w:rPr>
          <w:rFonts w:cs="Arial"/>
          <w:szCs w:val="22"/>
        </w:rPr>
        <w:t xml:space="preserve"> </w:t>
      </w:r>
    </w:p>
    <w:p w14:paraId="3E4EDC32" w14:textId="77777777" w:rsidR="00E97956" w:rsidRPr="00E97956" w:rsidRDefault="00E97956" w:rsidP="00E97956">
      <w:pPr>
        <w:pStyle w:val="ListParagraph"/>
        <w:ind w:left="792"/>
        <w:rPr>
          <w:rFonts w:cs="Arial"/>
          <w:szCs w:val="22"/>
        </w:rPr>
      </w:pPr>
    </w:p>
    <w:p w14:paraId="5267B7E1" w14:textId="6EE895C8" w:rsidR="00B845D1" w:rsidRPr="00E97956" w:rsidRDefault="00B845D1" w:rsidP="00E97956">
      <w:pPr>
        <w:pStyle w:val="ListParagraph"/>
        <w:numPr>
          <w:ilvl w:val="1"/>
          <w:numId w:val="2"/>
        </w:numPr>
        <w:rPr>
          <w:rFonts w:cs="Arial"/>
          <w:szCs w:val="22"/>
        </w:rPr>
      </w:pPr>
      <w:r w:rsidRPr="00E97956">
        <w:rPr>
          <w:rFonts w:cs="Arial"/>
          <w:szCs w:val="22"/>
        </w:rPr>
        <w:t>The responsibilities of GT Medical and IsoRay for particular aspects of the complaint process are outlined in the sections below.</w:t>
      </w:r>
      <w:r w:rsidR="00E97956">
        <w:rPr>
          <w:rFonts w:cs="Arial"/>
          <w:szCs w:val="22"/>
        </w:rPr>
        <w:t xml:space="preserve"> </w:t>
      </w:r>
    </w:p>
    <w:p w14:paraId="3F140952" w14:textId="77777777" w:rsidR="00E97956" w:rsidRPr="00E97956" w:rsidRDefault="00E97956" w:rsidP="00E97956">
      <w:pPr>
        <w:rPr>
          <w:rFonts w:cs="Arial"/>
          <w:szCs w:val="22"/>
        </w:rPr>
      </w:pPr>
    </w:p>
    <w:p w14:paraId="386AA271" w14:textId="5F1EE4FA" w:rsidR="005F1B62" w:rsidRPr="00EF3B1D" w:rsidRDefault="0022357B" w:rsidP="00E97956">
      <w:pPr>
        <w:pStyle w:val="ListParagraph"/>
        <w:numPr>
          <w:ilvl w:val="1"/>
          <w:numId w:val="2"/>
        </w:numPr>
        <w:rPr>
          <w:rFonts w:cs="Arial"/>
          <w:i/>
          <w:szCs w:val="22"/>
        </w:rPr>
      </w:pPr>
      <w:r w:rsidRPr="00E97956">
        <w:rPr>
          <w:rFonts w:cs="Arial"/>
          <w:szCs w:val="22"/>
        </w:rPr>
        <w:t>The RAQA consultant</w:t>
      </w:r>
      <w:r w:rsidR="005F1B62" w:rsidRPr="00E97956">
        <w:rPr>
          <w:rFonts w:cs="Arial"/>
          <w:szCs w:val="22"/>
        </w:rPr>
        <w:t xml:space="preserve"> is responsible to act on behalf of </w:t>
      </w:r>
      <w:r w:rsidR="009331B1" w:rsidRPr="00E97956">
        <w:rPr>
          <w:rFonts w:cs="Arial"/>
          <w:szCs w:val="22"/>
        </w:rPr>
        <w:t>GT Medical</w:t>
      </w:r>
      <w:r w:rsidR="005F1B62" w:rsidRPr="00E97956">
        <w:rPr>
          <w:rFonts w:cs="Arial"/>
          <w:szCs w:val="22"/>
        </w:rPr>
        <w:t xml:space="preserve"> for submitting </w:t>
      </w:r>
      <w:proofErr w:type="spellStart"/>
      <w:r w:rsidR="005F1B62" w:rsidRPr="00E97956">
        <w:rPr>
          <w:rFonts w:cs="Arial"/>
          <w:szCs w:val="22"/>
        </w:rPr>
        <w:t>eMDR</w:t>
      </w:r>
      <w:proofErr w:type="spellEnd"/>
      <w:r w:rsidR="00496838" w:rsidRPr="00E97956">
        <w:rPr>
          <w:rStyle w:val="FootnoteReference"/>
          <w:rFonts w:cs="Arial"/>
          <w:szCs w:val="22"/>
        </w:rPr>
        <w:footnoteReference w:id="1"/>
      </w:r>
      <w:r w:rsidR="005F1B62" w:rsidRPr="00E97956">
        <w:rPr>
          <w:rFonts w:cs="Arial"/>
          <w:szCs w:val="22"/>
        </w:rPr>
        <w:t>.</w:t>
      </w:r>
      <w:r w:rsidR="00496838" w:rsidRPr="00E97956">
        <w:t xml:space="preserve"> </w:t>
      </w:r>
    </w:p>
    <w:p w14:paraId="0F7BFDEC" w14:textId="77777777" w:rsidR="00610E66" w:rsidRPr="00EF3B1D" w:rsidRDefault="00610E66" w:rsidP="00EF3B1D">
      <w:pPr>
        <w:pStyle w:val="ListParagraph"/>
        <w:rPr>
          <w:rFonts w:cs="Arial"/>
          <w:i/>
          <w:szCs w:val="22"/>
        </w:rPr>
      </w:pPr>
    </w:p>
    <w:p w14:paraId="3F4333DF" w14:textId="42B30A4E" w:rsidR="00610E66" w:rsidRPr="00E97956" w:rsidRDefault="00610E66" w:rsidP="00E97956">
      <w:pPr>
        <w:pStyle w:val="ListParagraph"/>
        <w:numPr>
          <w:ilvl w:val="1"/>
          <w:numId w:val="2"/>
        </w:numPr>
        <w:rPr>
          <w:rFonts w:cs="Arial"/>
          <w:i/>
          <w:szCs w:val="22"/>
        </w:rPr>
      </w:pPr>
      <w:r>
        <w:rPr>
          <w:rFonts w:cs="Arial"/>
          <w:i/>
          <w:szCs w:val="22"/>
        </w:rPr>
        <w:t>Operations will</w:t>
      </w:r>
      <w:r w:rsidR="008747A5">
        <w:rPr>
          <w:rFonts w:cs="Arial"/>
          <w:i/>
          <w:szCs w:val="22"/>
        </w:rPr>
        <w:t xml:space="preserve"> review and process</w:t>
      </w:r>
      <w:r>
        <w:rPr>
          <w:rFonts w:cs="Arial"/>
          <w:i/>
          <w:szCs w:val="22"/>
        </w:rPr>
        <w:t xml:space="preserve"> </w:t>
      </w:r>
      <w:r w:rsidR="008747A5">
        <w:rPr>
          <w:rFonts w:cs="Arial"/>
          <w:i/>
          <w:szCs w:val="22"/>
        </w:rPr>
        <w:t>g</w:t>
      </w:r>
      <w:r>
        <w:rPr>
          <w:rFonts w:cs="Arial"/>
          <w:i/>
          <w:szCs w:val="22"/>
        </w:rPr>
        <w:t xml:space="preserve">eneral </w:t>
      </w:r>
      <w:r w:rsidR="008747A5">
        <w:rPr>
          <w:rFonts w:cs="Arial"/>
          <w:i/>
          <w:szCs w:val="22"/>
        </w:rPr>
        <w:t>f</w:t>
      </w:r>
      <w:r>
        <w:rPr>
          <w:rFonts w:cs="Arial"/>
          <w:i/>
          <w:szCs w:val="22"/>
        </w:rPr>
        <w:t>eedback</w:t>
      </w:r>
      <w:r w:rsidR="008747A5">
        <w:rPr>
          <w:rFonts w:cs="Arial"/>
          <w:i/>
          <w:szCs w:val="22"/>
        </w:rPr>
        <w:t xml:space="preserve"> and complaints</w:t>
      </w:r>
      <w:r>
        <w:rPr>
          <w:rFonts w:cs="Arial"/>
          <w:i/>
          <w:szCs w:val="22"/>
        </w:rPr>
        <w:t>.</w:t>
      </w:r>
    </w:p>
    <w:p w14:paraId="73DBD77B" w14:textId="6EDBA071" w:rsidR="006371BE" w:rsidRPr="00E97956" w:rsidRDefault="00684356" w:rsidP="00E97956">
      <w:pPr>
        <w:rPr>
          <w:rFonts w:cs="Arial"/>
          <w:b/>
          <w:i/>
          <w:szCs w:val="22"/>
        </w:rPr>
      </w:pPr>
      <w:r w:rsidRPr="00E97956">
        <w:rPr>
          <w:rFonts w:cs="Arial"/>
          <w:b/>
          <w:i/>
          <w:szCs w:val="22"/>
        </w:rPr>
        <w:t xml:space="preserve"> </w:t>
      </w:r>
    </w:p>
    <w:p w14:paraId="00A2A02C" w14:textId="4B063B6C" w:rsidR="00986B69" w:rsidRPr="00E97956" w:rsidRDefault="006371BE" w:rsidP="00E97956">
      <w:pPr>
        <w:pStyle w:val="ListParagraph"/>
        <w:numPr>
          <w:ilvl w:val="0"/>
          <w:numId w:val="2"/>
        </w:numPr>
        <w:rPr>
          <w:rFonts w:cs="Arial"/>
          <w:b/>
          <w:szCs w:val="22"/>
        </w:rPr>
      </w:pPr>
      <w:r w:rsidRPr="00E97956">
        <w:rPr>
          <w:rFonts w:cs="Arial"/>
          <w:b/>
          <w:szCs w:val="22"/>
        </w:rPr>
        <w:t>PROCEDURE</w:t>
      </w:r>
    </w:p>
    <w:p w14:paraId="49227E84" w14:textId="77777777" w:rsidR="00E97956" w:rsidRPr="00E97956" w:rsidRDefault="00E97956" w:rsidP="00E97956">
      <w:pPr>
        <w:pStyle w:val="ListParagraph"/>
        <w:ind w:left="360"/>
        <w:rPr>
          <w:rFonts w:cs="Arial"/>
          <w:b/>
          <w:szCs w:val="22"/>
        </w:rPr>
      </w:pPr>
    </w:p>
    <w:p w14:paraId="0471A7FC" w14:textId="4B5C7774" w:rsidR="004478FC" w:rsidRPr="00E97956" w:rsidRDefault="00986B69" w:rsidP="00E97956">
      <w:pPr>
        <w:pStyle w:val="ListParagraph"/>
        <w:numPr>
          <w:ilvl w:val="1"/>
          <w:numId w:val="2"/>
        </w:numPr>
        <w:rPr>
          <w:rFonts w:cs="Arial"/>
          <w:b/>
          <w:szCs w:val="22"/>
        </w:rPr>
      </w:pPr>
      <w:r w:rsidRPr="00E97956">
        <w:rPr>
          <w:rFonts w:cs="Arial"/>
          <w:b/>
          <w:szCs w:val="22"/>
        </w:rPr>
        <w:t>Receipt of Customer Feedback</w:t>
      </w:r>
      <w:r w:rsidR="00EA3889" w:rsidRPr="00E97956">
        <w:rPr>
          <w:rFonts w:cs="Arial"/>
          <w:b/>
          <w:szCs w:val="22"/>
        </w:rPr>
        <w:t xml:space="preserve"> </w:t>
      </w:r>
      <w:r w:rsidR="00EA3889" w:rsidRPr="00E97956">
        <w:rPr>
          <w:rFonts w:cs="Arial"/>
          <w:szCs w:val="22"/>
        </w:rPr>
        <w:t>(Section 1, F-003A Complaint Handling Form)</w:t>
      </w:r>
    </w:p>
    <w:p w14:paraId="355F6D64" w14:textId="77777777" w:rsidR="00E97956" w:rsidRPr="00E97956" w:rsidRDefault="00E97956" w:rsidP="00E97956">
      <w:pPr>
        <w:pStyle w:val="ListParagraph"/>
        <w:ind w:left="792"/>
        <w:rPr>
          <w:rFonts w:cs="Arial"/>
          <w:b/>
          <w:szCs w:val="22"/>
        </w:rPr>
      </w:pPr>
    </w:p>
    <w:p w14:paraId="735FEA0F" w14:textId="52396641" w:rsidR="006007B0" w:rsidRPr="007F1307" w:rsidRDefault="00C80460" w:rsidP="00E97956">
      <w:pPr>
        <w:pStyle w:val="ListParagraph"/>
        <w:numPr>
          <w:ilvl w:val="2"/>
          <w:numId w:val="2"/>
        </w:numPr>
        <w:ind w:left="1418" w:hanging="709"/>
      </w:pPr>
      <w:r w:rsidRPr="00E97956">
        <w:rPr>
          <w:rFonts w:cs="Arial"/>
          <w:szCs w:val="22"/>
          <w:u w:val="single"/>
        </w:rPr>
        <w:t>Classification</w:t>
      </w:r>
      <w:r w:rsidR="00600ED3" w:rsidRPr="00E97956">
        <w:rPr>
          <w:rFonts w:cs="Arial"/>
          <w:szCs w:val="22"/>
          <w:u w:val="single"/>
        </w:rPr>
        <w:t xml:space="preserve"> of Feedback</w:t>
      </w:r>
      <w:r w:rsidRPr="00E97956">
        <w:rPr>
          <w:rFonts w:cs="Arial"/>
          <w:szCs w:val="22"/>
          <w:u w:val="single"/>
        </w:rPr>
        <w:t>:</w:t>
      </w:r>
      <w:r w:rsidRPr="00E97956">
        <w:rPr>
          <w:rFonts w:cs="Arial"/>
          <w:szCs w:val="22"/>
        </w:rPr>
        <w:t xml:space="preserve"> Feedback shall be classified per the definitions given in Section 4 </w:t>
      </w:r>
      <w:r w:rsidR="00627F93" w:rsidRPr="00E97956">
        <w:rPr>
          <w:rFonts w:cs="Arial"/>
          <w:szCs w:val="22"/>
        </w:rPr>
        <w:t xml:space="preserve">of this procedure </w:t>
      </w:r>
      <w:r w:rsidRPr="00E97956">
        <w:rPr>
          <w:rFonts w:cs="Arial"/>
          <w:szCs w:val="22"/>
        </w:rPr>
        <w:t>to determine Log</w:t>
      </w:r>
      <w:r w:rsidR="00886BB8" w:rsidRPr="00E97956">
        <w:rPr>
          <w:rFonts w:cs="Arial"/>
          <w:szCs w:val="22"/>
        </w:rPr>
        <w:t>ging</w:t>
      </w:r>
      <w:r w:rsidRPr="00E97956">
        <w:rPr>
          <w:rFonts w:cs="Arial"/>
          <w:szCs w:val="22"/>
        </w:rPr>
        <w:t xml:space="preserve"> and Documentation requirements. </w:t>
      </w:r>
    </w:p>
    <w:p w14:paraId="7F14B21D" w14:textId="77777777" w:rsidR="002D1E99" w:rsidRPr="006007B0" w:rsidRDefault="002D1E99" w:rsidP="007F1307">
      <w:pPr>
        <w:pStyle w:val="ListParagraph"/>
        <w:ind w:left="1418"/>
      </w:pPr>
    </w:p>
    <w:p w14:paraId="3F296A39" w14:textId="226B577E" w:rsidR="006007B0" w:rsidRPr="007F1307" w:rsidRDefault="00C80460" w:rsidP="002D1E99">
      <w:pPr>
        <w:pStyle w:val="ListParagraph"/>
        <w:numPr>
          <w:ilvl w:val="3"/>
          <w:numId w:val="2"/>
        </w:numPr>
        <w:ind w:left="2160" w:hanging="1080"/>
      </w:pPr>
      <w:r w:rsidRPr="00E97956">
        <w:rPr>
          <w:rFonts w:cs="Arial"/>
          <w:szCs w:val="22"/>
        </w:rPr>
        <w:t xml:space="preserve">Feedback meeting the definition of a product </w:t>
      </w:r>
      <w:r w:rsidRPr="00D60ED5">
        <w:rPr>
          <w:rFonts w:cs="Arial"/>
          <w:b/>
          <w:szCs w:val="22"/>
        </w:rPr>
        <w:t>complaint</w:t>
      </w:r>
      <w:r w:rsidRPr="00E97956">
        <w:rPr>
          <w:rFonts w:cs="Arial"/>
          <w:szCs w:val="22"/>
        </w:rPr>
        <w:t xml:space="preserve"> will be processed </w:t>
      </w:r>
      <w:r w:rsidR="006007B0">
        <w:rPr>
          <w:rFonts w:cs="Arial"/>
          <w:szCs w:val="22"/>
        </w:rPr>
        <w:t>in accordance with the remainder of this SOP.</w:t>
      </w:r>
      <w:r w:rsidRPr="00E97956">
        <w:rPr>
          <w:rFonts w:cs="Arial"/>
          <w:szCs w:val="22"/>
        </w:rPr>
        <w:t xml:space="preserve"> </w:t>
      </w:r>
    </w:p>
    <w:p w14:paraId="03C7680B" w14:textId="77777777" w:rsidR="002D1E99" w:rsidRPr="006007B0" w:rsidRDefault="002D1E99" w:rsidP="007F1307">
      <w:pPr>
        <w:pStyle w:val="ListParagraph"/>
        <w:ind w:left="2160"/>
      </w:pPr>
    </w:p>
    <w:p w14:paraId="6A4879C2" w14:textId="0B0830A1" w:rsidR="006108AA" w:rsidRPr="00E97956" w:rsidRDefault="00C80460" w:rsidP="007F1307">
      <w:pPr>
        <w:pStyle w:val="ListParagraph"/>
        <w:numPr>
          <w:ilvl w:val="3"/>
          <w:numId w:val="2"/>
        </w:numPr>
        <w:ind w:left="2160" w:hanging="1080"/>
      </w:pPr>
      <w:r w:rsidRPr="00E97956">
        <w:rPr>
          <w:rFonts w:cs="Arial"/>
          <w:szCs w:val="22"/>
        </w:rPr>
        <w:t xml:space="preserve">Feedback </w:t>
      </w:r>
      <w:r w:rsidR="006007B0">
        <w:rPr>
          <w:rFonts w:cs="Arial"/>
          <w:szCs w:val="22"/>
        </w:rPr>
        <w:t>meeting the definition of General feedback, only required documentation</w:t>
      </w:r>
      <w:r w:rsidR="00E55A20">
        <w:rPr>
          <w:rFonts w:cs="Arial"/>
          <w:szCs w:val="22"/>
        </w:rPr>
        <w:t xml:space="preserve"> in </w:t>
      </w:r>
      <w:r w:rsidR="006007B0">
        <w:rPr>
          <w:rFonts w:cs="Arial"/>
          <w:szCs w:val="22"/>
        </w:rPr>
        <w:t xml:space="preserve">the </w:t>
      </w:r>
      <w:r w:rsidR="00E55A20">
        <w:rPr>
          <w:rFonts w:cs="Arial"/>
          <w:szCs w:val="22"/>
        </w:rPr>
        <w:t xml:space="preserve">F-003B </w:t>
      </w:r>
      <w:r w:rsidR="006007B0">
        <w:rPr>
          <w:rFonts w:cs="Arial"/>
          <w:szCs w:val="22"/>
        </w:rPr>
        <w:t>‘General f</w:t>
      </w:r>
      <w:r w:rsidR="00E55A20">
        <w:rPr>
          <w:rFonts w:cs="Arial"/>
          <w:szCs w:val="22"/>
        </w:rPr>
        <w:t>eedback’ tab and</w:t>
      </w:r>
      <w:r w:rsidR="00610E66">
        <w:rPr>
          <w:rFonts w:cs="Arial"/>
          <w:szCs w:val="22"/>
        </w:rPr>
        <w:t xml:space="preserve"> </w:t>
      </w:r>
      <w:r w:rsidRPr="00E97956">
        <w:rPr>
          <w:rFonts w:cs="Arial"/>
          <w:szCs w:val="22"/>
        </w:rPr>
        <w:t xml:space="preserve">will be </w:t>
      </w:r>
      <w:r w:rsidR="00E55A20">
        <w:rPr>
          <w:rFonts w:cs="Arial"/>
          <w:szCs w:val="22"/>
        </w:rPr>
        <w:t>reviewed</w:t>
      </w:r>
      <w:r w:rsidRPr="00E97956">
        <w:rPr>
          <w:rFonts w:cs="Arial"/>
          <w:szCs w:val="22"/>
        </w:rPr>
        <w:t xml:space="preserve"> by </w:t>
      </w:r>
      <w:r w:rsidR="00886BB8" w:rsidRPr="00E97956">
        <w:rPr>
          <w:rFonts w:cs="Arial"/>
          <w:szCs w:val="22"/>
        </w:rPr>
        <w:t>Operations</w:t>
      </w:r>
      <w:r w:rsidRPr="00E97956">
        <w:rPr>
          <w:rFonts w:cs="Arial"/>
          <w:szCs w:val="22"/>
        </w:rPr>
        <w:t>.</w:t>
      </w:r>
      <w:r w:rsidR="006007B0">
        <w:rPr>
          <w:rFonts w:cs="Arial"/>
          <w:szCs w:val="22"/>
        </w:rPr>
        <w:t xml:space="preserve"> </w:t>
      </w:r>
    </w:p>
    <w:p w14:paraId="41B054F2" w14:textId="77777777" w:rsidR="00E97956" w:rsidRPr="00E97956" w:rsidRDefault="00E97956" w:rsidP="00E97956">
      <w:pPr>
        <w:pStyle w:val="ListParagraph"/>
        <w:ind w:left="1418"/>
      </w:pPr>
    </w:p>
    <w:p w14:paraId="5AB14695" w14:textId="4E8E71CF" w:rsidR="00600ED3" w:rsidRPr="00E97956" w:rsidRDefault="00E97956" w:rsidP="00E97956">
      <w:pPr>
        <w:pStyle w:val="ListParagraph"/>
        <w:ind w:left="1224"/>
        <w:rPr>
          <w:rFonts w:cs="Arial"/>
          <w:szCs w:val="22"/>
        </w:rPr>
      </w:pPr>
      <w:r>
        <w:rPr>
          <w:rFonts w:cs="Arial"/>
          <w:szCs w:val="22"/>
        </w:rPr>
        <w:t xml:space="preserve"> </w:t>
      </w:r>
      <w:r w:rsidR="00600ED3" w:rsidRPr="00E97956">
        <w:rPr>
          <w:rFonts w:cs="Arial"/>
          <w:szCs w:val="22"/>
        </w:rPr>
        <w:t xml:space="preserve"> Guidelines</w:t>
      </w:r>
      <w:r w:rsidR="00600ED3" w:rsidRPr="00E97956">
        <w:rPr>
          <w:szCs w:val="22"/>
        </w:rPr>
        <w:t xml:space="preserve"> </w:t>
      </w:r>
      <w:r w:rsidR="00600ED3" w:rsidRPr="00E97956">
        <w:rPr>
          <w:rFonts w:cs="Arial"/>
          <w:szCs w:val="22"/>
        </w:rPr>
        <w:t>for what are typically considered complaints:</w:t>
      </w:r>
    </w:p>
    <w:p w14:paraId="5DEDAC3A" w14:textId="77777777" w:rsidR="00600ED3" w:rsidRPr="00E97956" w:rsidRDefault="00600ED3" w:rsidP="00E97956">
      <w:pPr>
        <w:pStyle w:val="ListParagraph"/>
        <w:numPr>
          <w:ilvl w:val="0"/>
          <w:numId w:val="14"/>
        </w:numPr>
        <w:rPr>
          <w:rFonts w:cs="Arial"/>
          <w:szCs w:val="22"/>
        </w:rPr>
      </w:pPr>
      <w:r w:rsidRPr="00E97956">
        <w:rPr>
          <w:rFonts w:cs="Arial"/>
          <w:szCs w:val="22"/>
        </w:rPr>
        <w:t>When a customer verbally complains or sends a letter or email to a GT Medical employee based upon the unacceptability of a GT Medical product for any of the identified reasons noted in the definition of a complaint.</w:t>
      </w:r>
    </w:p>
    <w:p w14:paraId="01F50EB5" w14:textId="77777777" w:rsidR="00600ED3" w:rsidRPr="00E97956" w:rsidRDefault="00600ED3" w:rsidP="00E97956">
      <w:pPr>
        <w:pStyle w:val="ListParagraph"/>
        <w:numPr>
          <w:ilvl w:val="0"/>
          <w:numId w:val="14"/>
        </w:numPr>
        <w:rPr>
          <w:rFonts w:cs="Arial"/>
          <w:szCs w:val="22"/>
        </w:rPr>
      </w:pPr>
      <w:r w:rsidRPr="00E97956">
        <w:rPr>
          <w:rFonts w:cs="Arial"/>
          <w:szCs w:val="22"/>
        </w:rPr>
        <w:t>When an Adverse Event is reported to any GT Medical employee.</w:t>
      </w:r>
    </w:p>
    <w:p w14:paraId="3141DCDE" w14:textId="77777777" w:rsidR="00600ED3" w:rsidRPr="00E97956" w:rsidRDefault="00600ED3" w:rsidP="00E97956">
      <w:pPr>
        <w:pStyle w:val="ListParagraph"/>
        <w:numPr>
          <w:ilvl w:val="0"/>
          <w:numId w:val="14"/>
        </w:numPr>
        <w:rPr>
          <w:rFonts w:cs="Arial"/>
          <w:szCs w:val="22"/>
        </w:rPr>
      </w:pPr>
      <w:r w:rsidRPr="00E97956">
        <w:rPr>
          <w:rFonts w:cs="Arial"/>
          <w:szCs w:val="22"/>
        </w:rPr>
        <w:t>When the customer perceives a trend of failures occurring with the unit and expresses unacceptability of this trend as it relates to any of the identified reasons noted in the definition of a complaint.</w:t>
      </w:r>
    </w:p>
    <w:p w14:paraId="02F911AA" w14:textId="24B78C8D" w:rsidR="00600ED3" w:rsidRPr="00E97956" w:rsidRDefault="00600ED3" w:rsidP="00E97956">
      <w:pPr>
        <w:pStyle w:val="ListParagraph"/>
        <w:numPr>
          <w:ilvl w:val="0"/>
          <w:numId w:val="14"/>
        </w:numPr>
        <w:rPr>
          <w:rFonts w:eastAsia="Arial" w:cs="Arial"/>
        </w:rPr>
      </w:pPr>
      <w:r w:rsidRPr="00E97956">
        <w:rPr>
          <w:rFonts w:eastAsia="Arial" w:cs="Arial"/>
        </w:rPr>
        <w:t>When the product does not operate according to the instructions for use, assuming existence of apparent malfunction.</w:t>
      </w:r>
    </w:p>
    <w:p w14:paraId="3097BF63" w14:textId="77777777" w:rsidR="00E97956" w:rsidRPr="00E97956" w:rsidRDefault="00E97956" w:rsidP="00E97956">
      <w:pPr>
        <w:pStyle w:val="ListParagraph"/>
        <w:ind w:left="1944"/>
        <w:rPr>
          <w:rFonts w:eastAsia="Arial" w:cs="Arial"/>
        </w:rPr>
      </w:pPr>
    </w:p>
    <w:p w14:paraId="353A3324" w14:textId="680D33E0" w:rsidR="006108AA" w:rsidRPr="00E97956" w:rsidRDefault="00600ED3" w:rsidP="00E97956">
      <w:pPr>
        <w:pStyle w:val="ListParagraph"/>
        <w:numPr>
          <w:ilvl w:val="2"/>
          <w:numId w:val="2"/>
        </w:numPr>
        <w:ind w:left="1418" w:hanging="709"/>
        <w:rPr>
          <w:rFonts w:cs="Arial"/>
          <w:szCs w:val="22"/>
        </w:rPr>
      </w:pPr>
      <w:r w:rsidRPr="00E97956">
        <w:rPr>
          <w:rFonts w:eastAsia="Arial" w:cs="Arial"/>
          <w:u w:val="single"/>
        </w:rPr>
        <w:t xml:space="preserve">Complaint </w:t>
      </w:r>
      <w:r w:rsidR="005E021E" w:rsidRPr="00E97956">
        <w:rPr>
          <w:rFonts w:eastAsia="Arial" w:cs="Arial"/>
          <w:u w:val="single"/>
        </w:rPr>
        <w:t>Documentation:</w:t>
      </w:r>
      <w:r w:rsidR="005E021E" w:rsidRPr="00E97956">
        <w:rPr>
          <w:rFonts w:eastAsia="Arial" w:cs="Arial"/>
        </w:rPr>
        <w:t xml:space="preserve"> </w:t>
      </w:r>
      <w:r w:rsidR="00886BB8" w:rsidRPr="00E97956">
        <w:rPr>
          <w:rFonts w:eastAsia="Arial" w:cs="Arial"/>
        </w:rPr>
        <w:t>When feedback is classified as a complaint</w:t>
      </w:r>
      <w:r w:rsidR="005E021E" w:rsidRPr="00E97956">
        <w:rPr>
          <w:rFonts w:eastAsia="Arial" w:cs="Arial"/>
        </w:rPr>
        <w:t>,</w:t>
      </w:r>
      <w:r w:rsidR="00986B69" w:rsidRPr="00E97956">
        <w:rPr>
          <w:rFonts w:eastAsia="Arial" w:cs="Arial"/>
        </w:rPr>
        <w:t xml:space="preserve"> </w:t>
      </w:r>
      <w:r w:rsidR="00886BB8" w:rsidRPr="00E97956">
        <w:rPr>
          <w:rFonts w:eastAsia="Arial" w:cs="Arial"/>
        </w:rPr>
        <w:t>Operations</w:t>
      </w:r>
      <w:r w:rsidR="00986B69" w:rsidRPr="00E97956">
        <w:rPr>
          <w:rFonts w:eastAsia="Arial" w:cs="Arial"/>
        </w:rPr>
        <w:t xml:space="preserve"> shall </w:t>
      </w:r>
      <w:r w:rsidR="005E021E" w:rsidRPr="00E97956">
        <w:rPr>
          <w:rFonts w:eastAsia="Arial" w:cs="Arial"/>
        </w:rPr>
        <w:t>initiate</w:t>
      </w:r>
      <w:r w:rsidR="00627F93" w:rsidRPr="00E97956">
        <w:rPr>
          <w:rFonts w:eastAsia="Arial" w:cs="Arial"/>
        </w:rPr>
        <w:t xml:space="preserve"> Sections 1</w:t>
      </w:r>
      <w:r w:rsidR="00986B69" w:rsidRPr="00E97956">
        <w:rPr>
          <w:rFonts w:eastAsia="Arial" w:cs="Arial"/>
        </w:rPr>
        <w:t xml:space="preserve"> </w:t>
      </w:r>
      <w:r w:rsidR="002A0681" w:rsidRPr="00E97956">
        <w:rPr>
          <w:rFonts w:eastAsia="Arial" w:cs="Arial"/>
        </w:rPr>
        <w:t xml:space="preserve">(General Information) </w:t>
      </w:r>
      <w:r w:rsidR="00986B69" w:rsidRPr="00E97956">
        <w:rPr>
          <w:rFonts w:eastAsia="Arial" w:cs="Arial"/>
        </w:rPr>
        <w:t xml:space="preserve">of </w:t>
      </w:r>
      <w:r w:rsidR="00986B69" w:rsidRPr="00E97956">
        <w:fldChar w:fldCharType="begin"/>
      </w:r>
      <w:r w:rsidR="00986B69" w:rsidRPr="00E97956">
        <w:rPr>
          <w:rFonts w:eastAsia="Arial" w:cs="Arial"/>
          <w:color w:val="000000"/>
          <w:szCs w:val="22"/>
          <w:lang w:eastAsia="en-US"/>
        </w:rPr>
        <w:instrText xml:space="preserve"> REF ComplaintForm_name \h  \* MERGEFORMAT </w:instrText>
      </w:r>
      <w:r w:rsidR="00986B69" w:rsidRPr="00E97956">
        <w:rPr>
          <w:rFonts w:eastAsia="Arial" w:cs="Arial"/>
          <w:color w:val="000000"/>
          <w:szCs w:val="22"/>
          <w:lang w:eastAsia="en-US"/>
        </w:rPr>
        <w:fldChar w:fldCharType="separate"/>
      </w:r>
      <w:r w:rsidR="00163B28" w:rsidRPr="00163B28">
        <w:rPr>
          <w:rFonts w:eastAsia="Arial" w:cs="Arial"/>
        </w:rPr>
        <w:t>F-003A, Complaint Handling Form</w:t>
      </w:r>
      <w:r w:rsidR="00986B69" w:rsidRPr="00E97956">
        <w:fldChar w:fldCharType="end"/>
      </w:r>
      <w:r w:rsidR="005E021E" w:rsidRPr="00E97956">
        <w:rPr>
          <w:rFonts w:eastAsia="Arial" w:cs="Arial"/>
          <w:color w:val="000000"/>
          <w:lang w:eastAsia="en-US"/>
        </w:rPr>
        <w:t xml:space="preserve">. If more information is necessary, </w:t>
      </w:r>
      <w:r w:rsidR="00886BB8" w:rsidRPr="00E97956">
        <w:rPr>
          <w:rFonts w:eastAsia="Arial" w:cs="Arial"/>
          <w:color w:val="000000"/>
          <w:lang w:eastAsia="en-US"/>
        </w:rPr>
        <w:t>Operations</w:t>
      </w:r>
      <w:r w:rsidR="005E021E" w:rsidRPr="00E97956">
        <w:rPr>
          <w:rFonts w:eastAsia="Arial" w:cs="Arial"/>
          <w:color w:val="000000"/>
          <w:lang w:eastAsia="en-US"/>
        </w:rPr>
        <w:t xml:space="preserve"> will follow-up w</w:t>
      </w:r>
      <w:r w:rsidR="003B5B88" w:rsidRPr="00E97956">
        <w:rPr>
          <w:rFonts w:eastAsia="Arial" w:cs="Arial"/>
          <w:color w:val="000000"/>
          <w:lang w:eastAsia="en-US"/>
        </w:rPr>
        <w:t xml:space="preserve">ith the complainant. </w:t>
      </w:r>
    </w:p>
    <w:p w14:paraId="3CD882FD" w14:textId="77777777" w:rsidR="00E97956" w:rsidRPr="00E97956" w:rsidRDefault="00E97956" w:rsidP="00E97956">
      <w:pPr>
        <w:pStyle w:val="ListParagraph"/>
        <w:ind w:left="1418"/>
        <w:rPr>
          <w:rFonts w:cs="Arial"/>
          <w:szCs w:val="22"/>
        </w:rPr>
      </w:pPr>
    </w:p>
    <w:p w14:paraId="5BF5DD78" w14:textId="5DB63FC8" w:rsidR="00627F93" w:rsidRPr="00E97956" w:rsidRDefault="009C75AE" w:rsidP="00E97956">
      <w:pPr>
        <w:pStyle w:val="ListParagraph"/>
        <w:numPr>
          <w:ilvl w:val="2"/>
          <w:numId w:val="2"/>
        </w:numPr>
        <w:ind w:left="1418" w:hanging="709"/>
        <w:rPr>
          <w:rFonts w:eastAsia="Arial" w:cs="Arial"/>
          <w:color w:val="000000"/>
          <w:szCs w:val="22"/>
          <w:lang w:eastAsia="en-US"/>
        </w:rPr>
      </w:pPr>
      <w:r w:rsidRPr="00E97956">
        <w:rPr>
          <w:rFonts w:cs="Arial"/>
          <w:szCs w:val="22"/>
          <w:u w:val="single"/>
        </w:rPr>
        <w:t xml:space="preserve">Complaint </w:t>
      </w:r>
      <w:r w:rsidR="00C27928">
        <w:rPr>
          <w:rFonts w:cs="Arial"/>
          <w:szCs w:val="22"/>
          <w:u w:val="single"/>
        </w:rPr>
        <w:t xml:space="preserve">/ Feedback </w:t>
      </w:r>
      <w:r w:rsidRPr="00E97956">
        <w:rPr>
          <w:rFonts w:cs="Arial"/>
          <w:szCs w:val="22"/>
          <w:u w:val="single"/>
        </w:rPr>
        <w:t>L</w:t>
      </w:r>
      <w:r w:rsidR="006108AA" w:rsidRPr="00E97956">
        <w:rPr>
          <w:rFonts w:cs="Arial"/>
          <w:szCs w:val="22"/>
          <w:u w:val="single"/>
        </w:rPr>
        <w:t>og:</w:t>
      </w:r>
      <w:r w:rsidR="002A0681" w:rsidRPr="00E97956">
        <w:rPr>
          <w:rFonts w:cs="Arial"/>
          <w:szCs w:val="22"/>
        </w:rPr>
        <w:t xml:space="preserve"> </w:t>
      </w:r>
      <w:r w:rsidR="00C27928">
        <w:rPr>
          <w:rFonts w:cs="Arial"/>
          <w:szCs w:val="22"/>
        </w:rPr>
        <w:t>C</w:t>
      </w:r>
      <w:r w:rsidR="002A0681" w:rsidRPr="00E97956">
        <w:rPr>
          <w:rFonts w:cs="Arial"/>
          <w:szCs w:val="22"/>
        </w:rPr>
        <w:t>omplaint</w:t>
      </w:r>
      <w:r w:rsidR="00C27928">
        <w:rPr>
          <w:rFonts w:cs="Arial"/>
          <w:szCs w:val="22"/>
        </w:rPr>
        <w:t>s and feedback</w:t>
      </w:r>
      <w:r w:rsidR="002A0681" w:rsidRPr="00E97956">
        <w:rPr>
          <w:rFonts w:cs="Arial"/>
          <w:szCs w:val="22"/>
        </w:rPr>
        <w:t xml:space="preserve"> shall be</w:t>
      </w:r>
      <w:r w:rsidR="006108AA" w:rsidRPr="00E97956">
        <w:rPr>
          <w:rFonts w:cs="Arial"/>
          <w:szCs w:val="22"/>
        </w:rPr>
        <w:t xml:space="preserve"> recorded in </w:t>
      </w:r>
      <w:r w:rsidR="006108AA" w:rsidRPr="00E97956">
        <w:rPr>
          <w:rFonts w:eastAsia="Arial" w:cs="Arial"/>
          <w:color w:val="000000"/>
          <w:szCs w:val="22"/>
          <w:lang w:eastAsia="en-US"/>
        </w:rPr>
        <w:fldChar w:fldCharType="begin"/>
      </w:r>
      <w:r w:rsidR="006108AA" w:rsidRPr="00E97956">
        <w:rPr>
          <w:rFonts w:eastAsia="Arial" w:cs="Arial"/>
          <w:color w:val="000000"/>
          <w:szCs w:val="22"/>
          <w:lang w:eastAsia="en-US"/>
        </w:rPr>
        <w:instrText xml:space="preserve"> REF ComplaintLog_name \h  \* MERGEFORMAT </w:instrText>
      </w:r>
      <w:r w:rsidR="006108AA" w:rsidRPr="00E97956">
        <w:rPr>
          <w:rFonts w:eastAsia="Arial" w:cs="Arial"/>
          <w:color w:val="000000"/>
          <w:szCs w:val="22"/>
          <w:lang w:eastAsia="en-US"/>
        </w:rPr>
      </w:r>
      <w:r w:rsidR="006108AA" w:rsidRPr="00E97956">
        <w:rPr>
          <w:rFonts w:eastAsia="Arial" w:cs="Arial"/>
          <w:color w:val="000000"/>
          <w:szCs w:val="22"/>
          <w:lang w:eastAsia="en-US"/>
        </w:rPr>
        <w:fldChar w:fldCharType="separate"/>
      </w:r>
      <w:r w:rsidR="00163B28" w:rsidRPr="00163B28">
        <w:rPr>
          <w:rFonts w:cs="Arial"/>
          <w:szCs w:val="22"/>
        </w:rPr>
        <w:t xml:space="preserve">F-003B, </w:t>
      </w:r>
      <w:r w:rsidR="006108AA" w:rsidRPr="00E97956">
        <w:rPr>
          <w:rFonts w:eastAsia="Arial" w:cs="Arial"/>
          <w:color w:val="000000"/>
          <w:szCs w:val="22"/>
          <w:lang w:eastAsia="en-US"/>
        </w:rPr>
        <w:fldChar w:fldCharType="end"/>
      </w:r>
      <w:r w:rsidR="00C27928">
        <w:rPr>
          <w:rFonts w:eastAsia="Arial" w:cs="Arial"/>
          <w:color w:val="000000"/>
          <w:szCs w:val="22"/>
          <w:lang w:eastAsia="en-US"/>
        </w:rPr>
        <w:t xml:space="preserve"> on their respective tab</w:t>
      </w:r>
      <w:r w:rsidR="002A0681" w:rsidRPr="00E97956">
        <w:rPr>
          <w:rFonts w:eastAsia="Arial" w:cs="Arial"/>
          <w:color w:val="000000"/>
          <w:szCs w:val="22"/>
          <w:lang w:eastAsia="en-US"/>
        </w:rPr>
        <w:t xml:space="preserve">. Complaints are </w:t>
      </w:r>
      <w:r w:rsidR="006108AA" w:rsidRPr="00E97956">
        <w:rPr>
          <w:rFonts w:eastAsia="Arial" w:cs="Arial"/>
          <w:color w:val="000000"/>
          <w:szCs w:val="22"/>
          <w:lang w:eastAsia="en-US"/>
        </w:rPr>
        <w:t>numbered consecutively</w:t>
      </w:r>
      <w:r w:rsidR="00627F93" w:rsidRPr="00E97956">
        <w:rPr>
          <w:rFonts w:eastAsia="Arial" w:cs="Arial"/>
          <w:color w:val="000000"/>
          <w:szCs w:val="22"/>
          <w:lang w:eastAsia="en-US"/>
        </w:rPr>
        <w:t xml:space="preserve"> (beginning with 1)</w:t>
      </w:r>
      <w:r w:rsidR="00B845D1" w:rsidRPr="00E97956">
        <w:rPr>
          <w:rFonts w:eastAsia="Arial" w:cs="Arial"/>
          <w:color w:val="000000"/>
          <w:szCs w:val="22"/>
          <w:lang w:eastAsia="en-US"/>
        </w:rPr>
        <w:t>.</w:t>
      </w:r>
      <w:r w:rsidR="00C27928">
        <w:rPr>
          <w:rFonts w:eastAsia="Arial" w:cs="Arial"/>
          <w:color w:val="000000"/>
          <w:szCs w:val="22"/>
          <w:lang w:eastAsia="en-US"/>
        </w:rPr>
        <w:t xml:space="preserve">  General feedback is organized by date and customer.  </w:t>
      </w:r>
    </w:p>
    <w:p w14:paraId="1F487A29" w14:textId="77777777" w:rsidR="00E97956" w:rsidRPr="00E97956" w:rsidRDefault="00E97956" w:rsidP="00E97956">
      <w:pPr>
        <w:rPr>
          <w:rFonts w:eastAsia="Arial" w:cs="Arial"/>
          <w:color w:val="000000"/>
          <w:szCs w:val="22"/>
          <w:lang w:eastAsia="en-US"/>
        </w:rPr>
      </w:pPr>
    </w:p>
    <w:p w14:paraId="2C7D2879" w14:textId="09A2640F" w:rsidR="00986B69" w:rsidRPr="00E97956" w:rsidRDefault="00291506" w:rsidP="00E97956">
      <w:pPr>
        <w:pStyle w:val="ListParagraph"/>
        <w:numPr>
          <w:ilvl w:val="2"/>
          <w:numId w:val="2"/>
        </w:numPr>
        <w:ind w:left="1418" w:hanging="709"/>
        <w:rPr>
          <w:rFonts w:cs="Arial"/>
          <w:szCs w:val="22"/>
        </w:rPr>
      </w:pPr>
      <w:r w:rsidRPr="00E97956">
        <w:rPr>
          <w:rFonts w:cs="Arial"/>
          <w:szCs w:val="22"/>
          <w:u w:val="single"/>
        </w:rPr>
        <w:t>Confidentiality:</w:t>
      </w:r>
      <w:r w:rsidRPr="00E97956">
        <w:rPr>
          <w:rFonts w:cs="Arial"/>
          <w:szCs w:val="22"/>
        </w:rPr>
        <w:t xml:space="preserve"> </w:t>
      </w:r>
      <w:r w:rsidR="00986B69" w:rsidRPr="00E97956">
        <w:rPr>
          <w:rFonts w:cs="Arial"/>
          <w:szCs w:val="22"/>
        </w:rPr>
        <w:t xml:space="preserve">If any of the customer feedback received contains personal information, the complaint records shall be kept confidential to the extent </w:t>
      </w:r>
      <w:r w:rsidR="00600ED3" w:rsidRPr="00E97956">
        <w:rPr>
          <w:rFonts w:cs="Arial"/>
          <w:szCs w:val="22"/>
        </w:rPr>
        <w:t>required</w:t>
      </w:r>
      <w:r w:rsidR="00986B69" w:rsidRPr="00E97956">
        <w:rPr>
          <w:rFonts w:cs="Arial"/>
          <w:szCs w:val="22"/>
        </w:rPr>
        <w:t xml:space="preserve"> by law.</w:t>
      </w:r>
    </w:p>
    <w:p w14:paraId="6C3A6FCE" w14:textId="77777777" w:rsidR="00291506" w:rsidRPr="00E97956" w:rsidRDefault="00291506" w:rsidP="00E97956">
      <w:pPr>
        <w:pStyle w:val="ListParagraph"/>
        <w:ind w:left="360"/>
        <w:rPr>
          <w:rFonts w:cs="Arial"/>
          <w:b/>
          <w:szCs w:val="22"/>
        </w:rPr>
      </w:pPr>
    </w:p>
    <w:p w14:paraId="12A22528" w14:textId="23D91648" w:rsidR="00291506" w:rsidRPr="00E97956" w:rsidRDefault="00291506" w:rsidP="00E97956">
      <w:pPr>
        <w:pStyle w:val="ListParagraph"/>
        <w:numPr>
          <w:ilvl w:val="1"/>
          <w:numId w:val="2"/>
        </w:numPr>
        <w:rPr>
          <w:rFonts w:cs="Arial"/>
          <w:b/>
          <w:szCs w:val="22"/>
        </w:rPr>
      </w:pPr>
      <w:r w:rsidRPr="00E97956">
        <w:rPr>
          <w:rFonts w:cs="Arial"/>
          <w:b/>
          <w:szCs w:val="22"/>
        </w:rPr>
        <w:t xml:space="preserve">Complaint </w:t>
      </w:r>
      <w:r w:rsidR="002A0681" w:rsidRPr="00E97956">
        <w:rPr>
          <w:rFonts w:cs="Arial"/>
          <w:b/>
          <w:szCs w:val="22"/>
        </w:rPr>
        <w:t xml:space="preserve">Evaluation </w:t>
      </w:r>
      <w:r w:rsidR="00EA3889" w:rsidRPr="00E97956">
        <w:rPr>
          <w:rFonts w:cs="Arial"/>
          <w:szCs w:val="22"/>
        </w:rPr>
        <w:t>(Section 2, F-003A Complaint Handling Form)</w:t>
      </w:r>
    </w:p>
    <w:p w14:paraId="5A389F99" w14:textId="77777777" w:rsidR="00E97956" w:rsidRPr="00E97956" w:rsidRDefault="00E97956" w:rsidP="00E97956">
      <w:pPr>
        <w:pStyle w:val="ListParagraph"/>
        <w:ind w:left="792"/>
        <w:rPr>
          <w:rFonts w:cs="Arial"/>
          <w:b/>
          <w:szCs w:val="22"/>
        </w:rPr>
      </w:pPr>
    </w:p>
    <w:p w14:paraId="3E71C41F" w14:textId="6928363B" w:rsidR="000D3389" w:rsidRPr="00E97956" w:rsidRDefault="00291506" w:rsidP="00E97956">
      <w:pPr>
        <w:pStyle w:val="ListParagraph"/>
        <w:numPr>
          <w:ilvl w:val="2"/>
          <w:numId w:val="2"/>
        </w:numPr>
        <w:ind w:left="1350" w:hanging="630"/>
        <w:rPr>
          <w:rFonts w:eastAsia="Arial" w:cs="Arial"/>
          <w:bCs/>
        </w:rPr>
      </w:pPr>
      <w:r w:rsidRPr="00E97956">
        <w:rPr>
          <w:rFonts w:eastAsia="Arial" w:cs="Arial"/>
          <w:bCs/>
          <w:u w:val="single"/>
        </w:rPr>
        <w:t>Documentation</w:t>
      </w:r>
      <w:r w:rsidR="002A0681" w:rsidRPr="00E97956">
        <w:rPr>
          <w:rFonts w:eastAsia="Arial" w:cs="Arial"/>
          <w:bCs/>
        </w:rPr>
        <w:t>: Operations will</w:t>
      </w:r>
      <w:r w:rsidR="00083708" w:rsidRPr="00E97956">
        <w:rPr>
          <w:rFonts w:eastAsia="Arial" w:cs="Arial"/>
          <w:bCs/>
        </w:rPr>
        <w:t xml:space="preserve"> document</w:t>
      </w:r>
      <w:r w:rsidR="002A0681" w:rsidRPr="00E97956">
        <w:rPr>
          <w:rFonts w:eastAsia="Arial" w:cs="Arial"/>
          <w:bCs/>
        </w:rPr>
        <w:t xml:space="preserve"> evaluat</w:t>
      </w:r>
      <w:r w:rsidR="00083708" w:rsidRPr="00E97956">
        <w:rPr>
          <w:rFonts w:eastAsia="Arial" w:cs="Arial"/>
          <w:bCs/>
        </w:rPr>
        <w:t>ion of</w:t>
      </w:r>
      <w:r w:rsidR="002A0681" w:rsidRPr="00E97956">
        <w:rPr>
          <w:rFonts w:eastAsia="Arial" w:cs="Arial"/>
          <w:bCs/>
        </w:rPr>
        <w:t xml:space="preserve"> the complaint with consideration for it type, reportability, and investigation requirements in </w:t>
      </w:r>
      <w:r w:rsidRPr="00E97956">
        <w:rPr>
          <w:rFonts w:eastAsia="Arial" w:cs="Arial"/>
          <w:bCs/>
        </w:rPr>
        <w:t xml:space="preserve">Section 2 of </w:t>
      </w:r>
      <w:r w:rsidRPr="00E97956">
        <w:fldChar w:fldCharType="begin"/>
      </w:r>
      <w:r w:rsidRPr="00E97956">
        <w:rPr>
          <w:rFonts w:eastAsia="Arial" w:cs="Arial"/>
          <w:color w:val="000000"/>
          <w:szCs w:val="22"/>
          <w:lang w:eastAsia="en-US"/>
        </w:rPr>
        <w:instrText xml:space="preserve"> REF ComplaintForm_name \h  \* MERGEFORMAT </w:instrText>
      </w:r>
      <w:r w:rsidRPr="00E97956">
        <w:rPr>
          <w:rFonts w:eastAsia="Arial" w:cs="Arial"/>
          <w:color w:val="000000"/>
          <w:szCs w:val="22"/>
          <w:lang w:eastAsia="en-US"/>
        </w:rPr>
        <w:fldChar w:fldCharType="separate"/>
      </w:r>
      <w:r w:rsidR="00163B28" w:rsidRPr="00163B28">
        <w:rPr>
          <w:rFonts w:eastAsia="Arial" w:cs="Arial"/>
        </w:rPr>
        <w:t>F-003A, Complaint Handling Form</w:t>
      </w:r>
      <w:r w:rsidRPr="00E97956">
        <w:fldChar w:fldCharType="end"/>
      </w:r>
      <w:r w:rsidRPr="00E97956">
        <w:rPr>
          <w:rFonts w:eastAsia="Arial" w:cs="Arial"/>
          <w:bCs/>
        </w:rPr>
        <w:t>.</w:t>
      </w:r>
      <w:r w:rsidR="00E97956">
        <w:rPr>
          <w:rFonts w:eastAsia="Arial" w:cs="Arial"/>
          <w:bCs/>
        </w:rPr>
        <w:t xml:space="preserve"> </w:t>
      </w:r>
    </w:p>
    <w:p w14:paraId="0B58C497" w14:textId="77777777" w:rsidR="00E97956" w:rsidRPr="00E97956" w:rsidRDefault="00E97956" w:rsidP="00E97956">
      <w:pPr>
        <w:pStyle w:val="ListParagraph"/>
        <w:ind w:left="1350"/>
        <w:rPr>
          <w:rFonts w:eastAsia="Arial" w:cs="Arial"/>
          <w:bCs/>
        </w:rPr>
      </w:pPr>
    </w:p>
    <w:p w14:paraId="6A7D132F" w14:textId="399A0975" w:rsidR="000D3389" w:rsidRPr="00E97956" w:rsidRDefault="002A0681" w:rsidP="00E97956">
      <w:pPr>
        <w:pStyle w:val="ListParagraph"/>
        <w:numPr>
          <w:ilvl w:val="2"/>
          <w:numId w:val="2"/>
        </w:numPr>
        <w:ind w:left="1350" w:hanging="630"/>
        <w:rPr>
          <w:rFonts w:ascii="Arial,Calibri" w:eastAsia="Arial,Calibri" w:hAnsi="Arial,Calibri" w:cs="Arial,Calibri"/>
          <w:color w:val="000000"/>
          <w:lang w:eastAsia="en-US"/>
        </w:rPr>
      </w:pPr>
      <w:r w:rsidRPr="00E97956">
        <w:rPr>
          <w:rFonts w:eastAsia="Arial" w:cs="Arial"/>
          <w:bCs/>
          <w:u w:val="single"/>
        </w:rPr>
        <w:t>Reportability</w:t>
      </w:r>
      <w:r w:rsidRPr="00E97956">
        <w:rPr>
          <w:rFonts w:eastAsia="Arial" w:cs="Arial"/>
          <w:bCs/>
        </w:rPr>
        <w:t xml:space="preserve">: Complete the flow chart, to determine if the complaint must be reported. </w:t>
      </w:r>
      <w:r w:rsidR="00EA3889" w:rsidRPr="00E97956">
        <w:rPr>
          <w:rFonts w:eastAsia="Arial" w:cs="Arial"/>
          <w:bCs/>
        </w:rPr>
        <w:t xml:space="preserve">This must be performed within 10 days of receiving </w:t>
      </w:r>
      <w:r w:rsidR="00600ED3" w:rsidRPr="00E97956">
        <w:rPr>
          <w:rFonts w:eastAsia="Arial" w:cs="Arial"/>
          <w:bCs/>
        </w:rPr>
        <w:t xml:space="preserve">the </w:t>
      </w:r>
      <w:r w:rsidR="00EA3889" w:rsidRPr="00E97956">
        <w:rPr>
          <w:rFonts w:eastAsia="Arial" w:cs="Arial"/>
          <w:bCs/>
        </w:rPr>
        <w:t>complaint and within 2 days for complaints that could require remedial action to prevent public risk.</w:t>
      </w:r>
      <w:r w:rsidR="00E97956">
        <w:rPr>
          <w:rFonts w:eastAsia="Arial" w:cs="Arial"/>
          <w:bCs/>
        </w:rPr>
        <w:t xml:space="preserve"> </w:t>
      </w:r>
      <w:r w:rsidR="00600ED3" w:rsidRPr="00E97956">
        <w:rPr>
          <w:rFonts w:eastAsia="Arial" w:cs="Arial"/>
          <w:bCs/>
        </w:rPr>
        <w:t>When in doubt,</w:t>
      </w:r>
      <w:r w:rsidRPr="00E97956">
        <w:rPr>
          <w:rFonts w:ascii="Arial,Calibri" w:eastAsia="Arial,Calibri" w:hAnsi="Arial,Calibri" w:cs="Arial,Calibri"/>
          <w:color w:val="000000"/>
          <w:lang w:eastAsia="en-US"/>
        </w:rPr>
        <w:t xml:space="preserve"> </w:t>
      </w:r>
      <w:r w:rsidR="00600ED3" w:rsidRPr="00E97956">
        <w:rPr>
          <w:rFonts w:ascii="Arial,Calibri" w:eastAsia="Arial,Calibri" w:hAnsi="Arial,Calibri" w:cs="Arial,Calibri"/>
          <w:color w:val="000000"/>
          <w:lang w:eastAsia="en-US"/>
        </w:rPr>
        <w:t>t</w:t>
      </w:r>
      <w:r w:rsidRPr="00E97956">
        <w:rPr>
          <w:rFonts w:ascii="Arial,Calibri" w:eastAsia="Arial,Calibri" w:hAnsi="Arial,Calibri" w:cs="Arial,Calibri"/>
          <w:color w:val="000000"/>
          <w:lang w:eastAsia="en-US"/>
        </w:rPr>
        <w:t xml:space="preserve">here should be a pre-disposition to report rather </w:t>
      </w:r>
      <w:r w:rsidR="00600ED3" w:rsidRPr="00E97956">
        <w:rPr>
          <w:rFonts w:ascii="Arial,Calibri" w:eastAsia="Arial,Calibri" w:hAnsi="Arial,Calibri" w:cs="Arial,Calibri"/>
          <w:color w:val="000000"/>
          <w:lang w:eastAsia="en-US"/>
        </w:rPr>
        <w:t>than not to report</w:t>
      </w:r>
      <w:r w:rsidRPr="00E97956">
        <w:rPr>
          <w:rFonts w:ascii="Arial,Calibri" w:eastAsia="Arial,Calibri" w:hAnsi="Arial,Calibri" w:cs="Arial,Calibri"/>
          <w:color w:val="000000"/>
          <w:lang w:eastAsia="en-US"/>
        </w:rPr>
        <w:t>.</w:t>
      </w:r>
      <w:r w:rsidR="00E97956">
        <w:rPr>
          <w:rFonts w:ascii="Arial,Calibri" w:eastAsia="Arial,Calibri" w:hAnsi="Arial,Calibri" w:cs="Arial,Calibri"/>
          <w:color w:val="000000"/>
          <w:lang w:eastAsia="en-US"/>
        </w:rPr>
        <w:t xml:space="preserve"> </w:t>
      </w:r>
      <w:r w:rsidR="009C75AE" w:rsidRPr="00E97956">
        <w:rPr>
          <w:rFonts w:eastAsia="Arial" w:cs="Arial"/>
          <w:bCs/>
        </w:rPr>
        <w:t>See reporting criteria below.</w:t>
      </w:r>
      <w:r w:rsidR="00E97956">
        <w:rPr>
          <w:rFonts w:eastAsia="Arial" w:cs="Arial"/>
          <w:bCs/>
        </w:rPr>
        <w:t xml:space="preserve"> </w:t>
      </w:r>
      <w:r w:rsidR="000D3389" w:rsidRPr="00E97956">
        <w:rPr>
          <w:rFonts w:ascii="Arial,Calibri" w:eastAsia="Arial,Calibri" w:hAnsi="Arial,Calibri" w:cs="Arial,Calibri"/>
          <w:b/>
          <w:color w:val="000000"/>
          <w:lang w:eastAsia="en-US"/>
        </w:rPr>
        <w:t>Appendix B provides a summary of the MDR reporting timelines for the FDA for medical devices.</w:t>
      </w:r>
      <w:r w:rsidR="00E97956">
        <w:rPr>
          <w:rFonts w:ascii="Arial,Calibri" w:eastAsia="Arial,Calibri" w:hAnsi="Arial,Calibri" w:cs="Arial,Calibri"/>
          <w:color w:val="000000"/>
          <w:lang w:eastAsia="en-US"/>
        </w:rPr>
        <w:t xml:space="preserve"> </w:t>
      </w:r>
      <w:r w:rsidR="00CA541C" w:rsidRPr="00E97956">
        <w:rPr>
          <w:rFonts w:ascii="Arial,Calibri" w:eastAsia="Arial,Calibri" w:hAnsi="Arial,Calibri" w:cs="Arial,Calibri"/>
          <w:b/>
          <w:color w:val="000000"/>
          <w:lang w:eastAsia="en-US"/>
        </w:rPr>
        <w:t xml:space="preserve">If a complaint is determined to be reportable, see Section </w:t>
      </w:r>
      <w:r w:rsidR="00CA541C" w:rsidRPr="00E97956">
        <w:rPr>
          <w:rFonts w:ascii="Arial,Calibri" w:eastAsia="Arial,Calibri" w:hAnsi="Arial,Calibri" w:cs="Arial,Calibri"/>
          <w:b/>
          <w:color w:val="000000"/>
          <w:lang w:eastAsia="en-US"/>
        </w:rPr>
        <w:fldChar w:fldCharType="begin"/>
      </w:r>
      <w:r w:rsidR="00CA541C" w:rsidRPr="00E97956">
        <w:rPr>
          <w:rFonts w:ascii="Arial,Calibri" w:eastAsia="Arial,Calibri" w:hAnsi="Arial,Calibri" w:cs="Arial,Calibri"/>
          <w:b/>
          <w:color w:val="000000"/>
          <w:lang w:eastAsia="en-US"/>
        </w:rPr>
        <w:instrText xml:space="preserve"> REF _Ref512231387 \r \h  \* MERGEFORMAT </w:instrText>
      </w:r>
      <w:r w:rsidR="00CA541C" w:rsidRPr="00E97956">
        <w:rPr>
          <w:rFonts w:ascii="Arial,Calibri" w:eastAsia="Arial,Calibri" w:hAnsi="Arial,Calibri" w:cs="Arial,Calibri"/>
          <w:b/>
          <w:color w:val="000000"/>
          <w:lang w:eastAsia="en-US"/>
        </w:rPr>
      </w:r>
      <w:r w:rsidR="00CA541C" w:rsidRPr="00E97956">
        <w:rPr>
          <w:rFonts w:ascii="Arial,Calibri" w:eastAsia="Arial,Calibri" w:hAnsi="Arial,Calibri" w:cs="Arial,Calibri"/>
          <w:b/>
          <w:color w:val="000000"/>
          <w:lang w:eastAsia="en-US"/>
        </w:rPr>
        <w:fldChar w:fldCharType="separate"/>
      </w:r>
      <w:r w:rsidR="00163B28">
        <w:rPr>
          <w:rFonts w:ascii="Arial,Calibri" w:eastAsia="Arial,Calibri" w:hAnsi="Arial,Calibri" w:cs="Arial,Calibri"/>
          <w:b/>
          <w:color w:val="000000"/>
          <w:lang w:eastAsia="en-US"/>
        </w:rPr>
        <w:t>6.7</w:t>
      </w:r>
      <w:r w:rsidR="00CA541C" w:rsidRPr="00E97956">
        <w:rPr>
          <w:rFonts w:ascii="Arial,Calibri" w:eastAsia="Arial,Calibri" w:hAnsi="Arial,Calibri" w:cs="Arial,Calibri"/>
          <w:b/>
          <w:color w:val="000000"/>
          <w:lang w:eastAsia="en-US"/>
        </w:rPr>
        <w:fldChar w:fldCharType="end"/>
      </w:r>
      <w:r w:rsidR="00CA541C" w:rsidRPr="00E97956">
        <w:rPr>
          <w:rFonts w:ascii="Arial,Calibri" w:eastAsia="Arial,Calibri" w:hAnsi="Arial,Calibri" w:cs="Arial,Calibri"/>
          <w:b/>
          <w:color w:val="000000"/>
          <w:lang w:eastAsia="en-US"/>
        </w:rPr>
        <w:t xml:space="preserve"> for additional information on the reporting process</w:t>
      </w:r>
      <w:r w:rsidR="00CA541C" w:rsidRPr="00E97956">
        <w:rPr>
          <w:rFonts w:ascii="Arial,Calibri" w:eastAsia="Arial,Calibri" w:hAnsi="Arial,Calibri" w:cs="Arial,Calibri"/>
          <w:color w:val="000000"/>
          <w:lang w:eastAsia="en-US"/>
        </w:rPr>
        <w:t xml:space="preserve">. </w:t>
      </w:r>
    </w:p>
    <w:p w14:paraId="484AD513" w14:textId="77777777" w:rsidR="00E97956" w:rsidRPr="00E97956" w:rsidRDefault="00E97956" w:rsidP="00E97956">
      <w:pPr>
        <w:pStyle w:val="ListParagraph"/>
        <w:rPr>
          <w:rFonts w:ascii="Arial,Calibri" w:eastAsia="Arial,Calibri" w:hAnsi="Arial,Calibri" w:cs="Arial,Calibri"/>
          <w:color w:val="000000"/>
          <w:lang w:eastAsia="en-US"/>
        </w:rPr>
      </w:pPr>
    </w:p>
    <w:p w14:paraId="7E566386" w14:textId="552C100D" w:rsidR="000D3389" w:rsidRPr="00E97956" w:rsidRDefault="000D3389" w:rsidP="00E97956">
      <w:pPr>
        <w:pStyle w:val="ListParagraph"/>
        <w:numPr>
          <w:ilvl w:val="3"/>
          <w:numId w:val="2"/>
        </w:numPr>
        <w:ind w:left="1980" w:hanging="900"/>
        <w:rPr>
          <w:rFonts w:eastAsia="Arial" w:cs="Arial"/>
          <w:b/>
          <w:bCs/>
        </w:rPr>
      </w:pPr>
      <w:r w:rsidRPr="00E97956">
        <w:rPr>
          <w:rFonts w:ascii="Arial,Calibri" w:eastAsia="Arial,Calibri" w:hAnsi="Arial,Calibri" w:cs="Arial,Calibri"/>
          <w:color w:val="000000"/>
          <w:u w:val="single"/>
          <w:lang w:eastAsia="en-US"/>
        </w:rPr>
        <w:t>MDR actions:</w:t>
      </w:r>
      <w:r w:rsidRPr="00E97956">
        <w:rPr>
          <w:rFonts w:ascii="Arial,Calibri" w:eastAsia="Arial,Calibri" w:hAnsi="Arial,Calibri" w:cs="Arial,Calibri"/>
          <w:color w:val="000000"/>
          <w:lang w:eastAsia="en-US"/>
        </w:rPr>
        <w:t xml:space="preserve"> Appendix B provides a summary of the MDR reporting actions </w:t>
      </w:r>
      <w:r w:rsidR="00600ED3" w:rsidRPr="00E97956">
        <w:rPr>
          <w:rFonts w:ascii="Arial,Calibri" w:eastAsia="Arial,Calibri" w:hAnsi="Arial,Calibri" w:cs="Arial,Calibri"/>
          <w:color w:val="000000"/>
          <w:lang w:eastAsia="en-US"/>
        </w:rPr>
        <w:t xml:space="preserve">and timelines </w:t>
      </w:r>
      <w:r w:rsidRPr="00E97956">
        <w:rPr>
          <w:rFonts w:ascii="Arial,Calibri" w:eastAsia="Arial,Calibri" w:hAnsi="Arial,Calibri" w:cs="Arial,Calibri"/>
          <w:color w:val="000000"/>
          <w:lang w:eastAsia="en-US"/>
        </w:rPr>
        <w:t xml:space="preserve">for </w:t>
      </w:r>
      <w:r w:rsidR="00600ED3" w:rsidRPr="00E97956">
        <w:rPr>
          <w:rFonts w:ascii="Arial,Calibri" w:eastAsia="Arial,Calibri" w:hAnsi="Arial,Calibri" w:cs="Arial,Calibri"/>
          <w:color w:val="000000"/>
          <w:lang w:eastAsia="en-US"/>
        </w:rPr>
        <w:t xml:space="preserve">the </w:t>
      </w:r>
      <w:r w:rsidRPr="00E97956">
        <w:rPr>
          <w:rFonts w:ascii="Arial,Calibri" w:eastAsia="Arial,Calibri" w:hAnsi="Arial,Calibri" w:cs="Arial,Calibri"/>
          <w:color w:val="000000"/>
          <w:lang w:eastAsia="en-US"/>
        </w:rPr>
        <w:t xml:space="preserve">FDA. </w:t>
      </w:r>
    </w:p>
    <w:p w14:paraId="1670B7D7" w14:textId="77777777" w:rsidR="00E97956" w:rsidRPr="00E97956" w:rsidRDefault="00E97956" w:rsidP="00E97956">
      <w:pPr>
        <w:pStyle w:val="ListParagraph"/>
        <w:ind w:left="1980" w:hanging="900"/>
        <w:rPr>
          <w:rFonts w:eastAsia="Arial" w:cs="Arial"/>
          <w:b/>
          <w:bCs/>
        </w:rPr>
      </w:pPr>
    </w:p>
    <w:p w14:paraId="33388451" w14:textId="615A7AD5" w:rsidR="000D3389" w:rsidRPr="00E97956" w:rsidRDefault="000D3389" w:rsidP="00E97956">
      <w:pPr>
        <w:pStyle w:val="ListParagraph"/>
        <w:numPr>
          <w:ilvl w:val="3"/>
          <w:numId w:val="2"/>
        </w:numPr>
        <w:ind w:left="1980" w:hanging="900"/>
        <w:rPr>
          <w:rFonts w:ascii="Arial,Calibri" w:eastAsia="Arial,Calibri" w:hAnsi="Arial,Calibri" w:cs="Arial,Calibri"/>
          <w:color w:val="000000"/>
          <w:spacing w:val="-3"/>
          <w:lang w:eastAsia="en-US"/>
        </w:rPr>
      </w:pPr>
      <w:r w:rsidRPr="00E97956">
        <w:rPr>
          <w:rFonts w:ascii="Arial,Calibri" w:eastAsia="Arial,Calibri" w:hAnsi="Arial,Calibri" w:cs="Arial,Calibri"/>
          <w:color w:val="000000"/>
          <w:u w:val="single"/>
          <w:lang w:eastAsia="en-US"/>
        </w:rPr>
        <w:t>Reporting criteria:</w:t>
      </w:r>
      <w:r w:rsidRPr="00E97956">
        <w:rPr>
          <w:rFonts w:ascii="Arial,Calibri" w:eastAsia="Arial,Calibri" w:hAnsi="Arial,Calibri" w:cs="Arial,Calibri"/>
          <w:color w:val="000000"/>
          <w:lang w:eastAsia="en-US"/>
        </w:rPr>
        <w:t xml:space="preserve"> Any incident involving a device which meets the three basic reporting criteria listed below is considered as an adverse incident and should be reported to the FDA</w:t>
      </w:r>
      <w:r w:rsidRPr="00E97956">
        <w:rPr>
          <w:rFonts w:ascii="Arial,Calibri" w:eastAsia="Arial,Calibri" w:hAnsi="Arial,Calibri" w:cs="Arial,Calibri"/>
          <w:color w:val="000000"/>
          <w:spacing w:val="-3"/>
          <w:lang w:eastAsia="en-US"/>
        </w:rPr>
        <w:t>:</w:t>
      </w:r>
    </w:p>
    <w:p w14:paraId="158F6F40" w14:textId="51FA569B" w:rsidR="000D3389" w:rsidRPr="00E97956" w:rsidRDefault="000D3389" w:rsidP="00E97956">
      <w:pPr>
        <w:pStyle w:val="ListParagraph"/>
        <w:numPr>
          <w:ilvl w:val="0"/>
          <w:numId w:val="33"/>
        </w:numPr>
        <w:rPr>
          <w:rFonts w:cs="Arial"/>
          <w:szCs w:val="22"/>
        </w:rPr>
      </w:pPr>
      <w:r w:rsidRPr="00E97956">
        <w:rPr>
          <w:rFonts w:cs="Arial"/>
          <w:szCs w:val="22"/>
        </w:rPr>
        <w:t>An event has occurred.</w:t>
      </w:r>
    </w:p>
    <w:p w14:paraId="641F6221" w14:textId="2DE8728F" w:rsidR="000D3389" w:rsidRPr="00E97956" w:rsidRDefault="000D3389" w:rsidP="00E97956">
      <w:pPr>
        <w:pStyle w:val="ListParagraph"/>
        <w:numPr>
          <w:ilvl w:val="0"/>
          <w:numId w:val="33"/>
        </w:numPr>
        <w:rPr>
          <w:rFonts w:cs="Arial"/>
          <w:szCs w:val="22"/>
        </w:rPr>
      </w:pPr>
      <w:r w:rsidRPr="00E97956">
        <w:rPr>
          <w:rFonts w:cs="Arial"/>
          <w:szCs w:val="22"/>
        </w:rPr>
        <w:t>The manufacturer’s device is associated with the event.</w:t>
      </w:r>
    </w:p>
    <w:p w14:paraId="23047A96" w14:textId="77777777" w:rsidR="000D3389" w:rsidRPr="00E97956" w:rsidRDefault="000D3389" w:rsidP="00E97956">
      <w:pPr>
        <w:pStyle w:val="ListParagraph"/>
        <w:numPr>
          <w:ilvl w:val="0"/>
          <w:numId w:val="33"/>
        </w:numPr>
        <w:rPr>
          <w:rFonts w:cs="Arial"/>
          <w:szCs w:val="22"/>
        </w:rPr>
      </w:pPr>
      <w:r w:rsidRPr="00E97956">
        <w:rPr>
          <w:rFonts w:cs="Arial"/>
          <w:szCs w:val="22"/>
        </w:rPr>
        <w:t>The event led, or might have led, to one of the following outcomes: to a death of a patient, user or other person or serious deterioration in the state of health of a patient, user or other person.</w:t>
      </w:r>
    </w:p>
    <w:p w14:paraId="7DDF83DC" w14:textId="77777777" w:rsidR="000D3389" w:rsidRPr="00E97956" w:rsidRDefault="000D3389" w:rsidP="00E97956">
      <w:pPr>
        <w:pStyle w:val="ListParagraph"/>
        <w:numPr>
          <w:ilvl w:val="1"/>
          <w:numId w:val="33"/>
        </w:numPr>
        <w:rPr>
          <w:rFonts w:cs="Arial"/>
          <w:szCs w:val="22"/>
        </w:rPr>
      </w:pPr>
      <w:r w:rsidRPr="00E97956">
        <w:rPr>
          <w:rFonts w:cs="Arial"/>
          <w:szCs w:val="22"/>
        </w:rPr>
        <w:t>Serious deterioration in state of health can include:</w:t>
      </w:r>
    </w:p>
    <w:p w14:paraId="02D2980B" w14:textId="77777777" w:rsidR="000D3389" w:rsidRPr="00E97956" w:rsidRDefault="000D3389" w:rsidP="00E97956">
      <w:pPr>
        <w:pStyle w:val="ListParagraph"/>
        <w:numPr>
          <w:ilvl w:val="2"/>
          <w:numId w:val="33"/>
        </w:numPr>
        <w:rPr>
          <w:rFonts w:cs="Arial"/>
          <w:szCs w:val="22"/>
        </w:rPr>
      </w:pPr>
      <w:r w:rsidRPr="00E97956">
        <w:rPr>
          <w:rFonts w:cs="Arial"/>
          <w:szCs w:val="22"/>
        </w:rPr>
        <w:lastRenderedPageBreak/>
        <w:t>Life-threatening illness or injury;</w:t>
      </w:r>
    </w:p>
    <w:p w14:paraId="641FA10E" w14:textId="77777777" w:rsidR="000D3389" w:rsidRPr="00E97956" w:rsidRDefault="000D3389" w:rsidP="00E97956">
      <w:pPr>
        <w:pStyle w:val="ListParagraph"/>
        <w:numPr>
          <w:ilvl w:val="2"/>
          <w:numId w:val="33"/>
        </w:numPr>
        <w:rPr>
          <w:rFonts w:cs="Arial"/>
          <w:szCs w:val="22"/>
        </w:rPr>
      </w:pPr>
      <w:r w:rsidRPr="00E97956">
        <w:rPr>
          <w:rFonts w:cs="Arial"/>
          <w:szCs w:val="22"/>
        </w:rPr>
        <w:t>Injuries or illnesses that result in permanent impairment of a body function or permanent damage to a body structure;</w:t>
      </w:r>
    </w:p>
    <w:p w14:paraId="2C7285BC" w14:textId="77777777" w:rsidR="000D3389" w:rsidRPr="00E97956" w:rsidRDefault="000D3389" w:rsidP="00E97956">
      <w:pPr>
        <w:pStyle w:val="ListParagraph"/>
        <w:numPr>
          <w:ilvl w:val="2"/>
          <w:numId w:val="33"/>
        </w:numPr>
        <w:rPr>
          <w:rFonts w:cs="Arial"/>
          <w:szCs w:val="22"/>
        </w:rPr>
      </w:pPr>
      <w:r w:rsidRPr="00E97956">
        <w:rPr>
          <w:rFonts w:cs="Arial"/>
          <w:szCs w:val="22"/>
        </w:rPr>
        <w:t>A condition necessitating medical or surgical intervention to prevent the above conditions;</w:t>
      </w:r>
    </w:p>
    <w:p w14:paraId="40813A24" w14:textId="77777777" w:rsidR="000D3389" w:rsidRPr="00E97956" w:rsidRDefault="000D3389" w:rsidP="00E97956">
      <w:pPr>
        <w:pStyle w:val="ListParagraph"/>
        <w:numPr>
          <w:ilvl w:val="2"/>
          <w:numId w:val="33"/>
        </w:numPr>
        <w:rPr>
          <w:rFonts w:cs="Arial"/>
          <w:szCs w:val="22"/>
        </w:rPr>
      </w:pPr>
      <w:r w:rsidRPr="00E97956">
        <w:rPr>
          <w:rFonts w:cs="Arial"/>
          <w:szCs w:val="22"/>
        </w:rPr>
        <w:t>Any indirect harm as a consequence of an incorrect diagnosis or IVD test results when used in accordance with the manufacturer’s instructions for use; and/or</w:t>
      </w:r>
    </w:p>
    <w:p w14:paraId="7661BAAA" w14:textId="7C87BA8D" w:rsidR="000D3389" w:rsidRPr="00E97956" w:rsidRDefault="000D3389" w:rsidP="00E97956">
      <w:pPr>
        <w:pStyle w:val="ListParagraph"/>
        <w:numPr>
          <w:ilvl w:val="2"/>
          <w:numId w:val="33"/>
        </w:numPr>
        <w:rPr>
          <w:rFonts w:cs="Arial"/>
          <w:szCs w:val="22"/>
        </w:rPr>
      </w:pPr>
      <w:r w:rsidRPr="00E97956">
        <w:t>Fetal distress, fetal death or congenital abnormality or birth defects.</w:t>
      </w:r>
    </w:p>
    <w:p w14:paraId="7E0CA316" w14:textId="77777777" w:rsidR="00E97956" w:rsidRPr="00E97956" w:rsidRDefault="00E97956" w:rsidP="00E97956">
      <w:pPr>
        <w:pStyle w:val="ListParagraph"/>
        <w:ind w:left="3924"/>
        <w:rPr>
          <w:rFonts w:cs="Arial"/>
          <w:szCs w:val="22"/>
        </w:rPr>
      </w:pPr>
    </w:p>
    <w:p w14:paraId="0CB5F38D" w14:textId="45D98A8A" w:rsidR="000D3389" w:rsidRDefault="000D3389" w:rsidP="00E97956">
      <w:pPr>
        <w:pStyle w:val="ListParagraph"/>
        <w:ind w:left="1416" w:firstLine="12"/>
      </w:pPr>
      <w:r w:rsidRPr="00E97956">
        <w:rPr>
          <w:u w:val="single"/>
        </w:rPr>
        <w:t>Note</w:t>
      </w:r>
      <w:r w:rsidRPr="00E97956">
        <w:t>: For a near incident to be reported, a possible direct link with the device, or with shortcomings in the information supplied, should be clearly established.</w:t>
      </w:r>
    </w:p>
    <w:p w14:paraId="45A49A3D" w14:textId="77777777" w:rsidR="00E97956" w:rsidRPr="00E97956" w:rsidRDefault="00E97956" w:rsidP="00E97956">
      <w:pPr>
        <w:pStyle w:val="ListParagraph"/>
        <w:ind w:left="1416" w:firstLine="12"/>
      </w:pPr>
    </w:p>
    <w:p w14:paraId="3B4D0F7C" w14:textId="56BDE249" w:rsidR="000D3389" w:rsidRDefault="000D3389" w:rsidP="00E97956">
      <w:pPr>
        <w:pStyle w:val="ListParagraph"/>
        <w:numPr>
          <w:ilvl w:val="3"/>
          <w:numId w:val="2"/>
        </w:numPr>
        <w:rPr>
          <w:rFonts w:cs="Arial"/>
          <w:szCs w:val="22"/>
        </w:rPr>
      </w:pPr>
      <w:r w:rsidRPr="00E97956">
        <w:rPr>
          <w:rFonts w:cs="Arial"/>
          <w:szCs w:val="22"/>
          <w:u w:val="single"/>
        </w:rPr>
        <w:t>Special considerations:</w:t>
      </w:r>
      <w:r w:rsidRPr="00E97956">
        <w:rPr>
          <w:rFonts w:cs="Arial"/>
          <w:szCs w:val="22"/>
        </w:rPr>
        <w:t xml:space="preserve"> </w:t>
      </w:r>
    </w:p>
    <w:p w14:paraId="4D9EF957" w14:textId="77777777" w:rsidR="00E97956" w:rsidRPr="00E97956" w:rsidRDefault="00E97956" w:rsidP="00E97956">
      <w:pPr>
        <w:pStyle w:val="ListParagraph"/>
        <w:ind w:left="1728"/>
        <w:rPr>
          <w:rFonts w:cs="Arial"/>
          <w:szCs w:val="22"/>
        </w:rPr>
      </w:pPr>
    </w:p>
    <w:p w14:paraId="1657E8C8" w14:textId="77777777" w:rsidR="000D3389" w:rsidRPr="00E97956" w:rsidRDefault="000D3389" w:rsidP="00E97956">
      <w:pPr>
        <w:pStyle w:val="ListParagraph"/>
        <w:numPr>
          <w:ilvl w:val="0"/>
          <w:numId w:val="38"/>
        </w:numPr>
        <w:rPr>
          <w:rFonts w:cs="Arial"/>
          <w:szCs w:val="22"/>
        </w:rPr>
      </w:pPr>
      <w:r w:rsidRPr="00E97956">
        <w:rPr>
          <w:rFonts w:cs="Arial"/>
          <w:szCs w:val="22"/>
        </w:rPr>
        <w:t>Those adverse incidents involving particular issues of significant public health concern as determined by the FDA should be reported regardless of exemption criteria.</w:t>
      </w:r>
    </w:p>
    <w:p w14:paraId="458A073D" w14:textId="77777777" w:rsidR="000D3389" w:rsidRPr="00E97956" w:rsidRDefault="000D3389" w:rsidP="00E97956">
      <w:pPr>
        <w:pStyle w:val="ListParagraph"/>
        <w:numPr>
          <w:ilvl w:val="0"/>
          <w:numId w:val="38"/>
        </w:numPr>
        <w:rPr>
          <w:rFonts w:cs="Arial"/>
          <w:szCs w:val="22"/>
        </w:rPr>
      </w:pPr>
      <w:r w:rsidRPr="00E97956">
        <w:rPr>
          <w:rFonts w:cs="Arial"/>
          <w:szCs w:val="22"/>
        </w:rPr>
        <w:t>Similarly, those adverse incidents, which are subject to an exemption become reportable to the FDA if a change in trend (usually an increase in frequency) or pattern is identified.</w:t>
      </w:r>
    </w:p>
    <w:p w14:paraId="5B448D0B" w14:textId="77777777" w:rsidR="000D3389" w:rsidRPr="00E97956" w:rsidRDefault="000D3389" w:rsidP="00E97956">
      <w:pPr>
        <w:pStyle w:val="ListParagraph"/>
        <w:numPr>
          <w:ilvl w:val="0"/>
          <w:numId w:val="38"/>
        </w:numPr>
        <w:rPr>
          <w:rFonts w:cs="Arial"/>
          <w:szCs w:val="22"/>
        </w:rPr>
      </w:pPr>
      <w:r w:rsidRPr="00E97956">
        <w:rPr>
          <w:rFonts w:eastAsia="Calibri" w:cs="Arial"/>
          <w:color w:val="000000"/>
          <w:szCs w:val="22"/>
          <w:lang w:eastAsia="en-US"/>
        </w:rPr>
        <w:t>The same considerations apply to a FDA’s decision whether to inform a manufacturer of an incident reported via a User Reporting or other system.</w:t>
      </w:r>
    </w:p>
    <w:p w14:paraId="7957B187" w14:textId="66D04AE1" w:rsidR="001147FE" w:rsidRDefault="000D3389" w:rsidP="00E97956">
      <w:pPr>
        <w:pStyle w:val="ListParagraph"/>
        <w:numPr>
          <w:ilvl w:val="0"/>
          <w:numId w:val="38"/>
        </w:numPr>
        <w:rPr>
          <w:rFonts w:ascii="Arial,Calibri" w:eastAsia="Arial,Calibri" w:hAnsi="Arial,Calibri" w:cs="Arial,Calibri"/>
          <w:color w:val="000000"/>
          <w:lang w:eastAsia="en-US"/>
        </w:rPr>
      </w:pPr>
      <w:r w:rsidRPr="00E97956">
        <w:rPr>
          <w:rFonts w:ascii="Arial,Calibri" w:eastAsia="Arial,Calibri" w:hAnsi="Arial,Calibri" w:cs="Arial,Calibri"/>
          <w:color w:val="000000"/>
          <w:lang w:eastAsia="en-US"/>
        </w:rPr>
        <w:t>Utilize Appendix B to determine reporting time and type of report required for each type of event that has a reportable incident.</w:t>
      </w:r>
    </w:p>
    <w:p w14:paraId="5FD5967E" w14:textId="77777777" w:rsidR="00E97956" w:rsidRPr="00E97956" w:rsidRDefault="00E97956" w:rsidP="00E97956">
      <w:pPr>
        <w:pStyle w:val="ListParagraph"/>
        <w:ind w:left="2138"/>
        <w:rPr>
          <w:rFonts w:ascii="Arial,Calibri" w:eastAsia="Arial,Calibri" w:hAnsi="Arial,Calibri" w:cs="Arial,Calibri"/>
          <w:color w:val="000000"/>
          <w:lang w:eastAsia="en-US"/>
        </w:rPr>
      </w:pPr>
    </w:p>
    <w:p w14:paraId="2BF6E021" w14:textId="5FFCCC5D" w:rsidR="000D3389" w:rsidRDefault="00C27928" w:rsidP="00E97956">
      <w:pPr>
        <w:pStyle w:val="ListParagraph"/>
        <w:numPr>
          <w:ilvl w:val="2"/>
          <w:numId w:val="2"/>
        </w:numPr>
        <w:ind w:left="1440" w:hanging="810"/>
        <w:rPr>
          <w:rFonts w:cs="Arial"/>
          <w:szCs w:val="22"/>
        </w:rPr>
      </w:pPr>
      <w:r>
        <w:rPr>
          <w:rFonts w:cs="Arial"/>
          <w:szCs w:val="22"/>
          <w:u w:val="single"/>
        </w:rPr>
        <w:t>Complaint / Feedback Log</w:t>
      </w:r>
      <w:r w:rsidR="000D3389" w:rsidRPr="00E97956">
        <w:rPr>
          <w:rFonts w:cs="Arial"/>
          <w:szCs w:val="22"/>
        </w:rPr>
        <w:t xml:space="preserve">: The </w:t>
      </w:r>
      <w:r w:rsidR="009C75AE" w:rsidRPr="00E97956">
        <w:rPr>
          <w:rFonts w:cs="Arial"/>
          <w:szCs w:val="22"/>
        </w:rPr>
        <w:t xml:space="preserve">F-003B, </w:t>
      </w:r>
      <w:r>
        <w:rPr>
          <w:rFonts w:cs="Arial"/>
          <w:szCs w:val="22"/>
        </w:rPr>
        <w:t>Complaint / Feedback Log</w:t>
      </w:r>
      <w:r w:rsidR="000D3389" w:rsidRPr="00E97956">
        <w:rPr>
          <w:rFonts w:cs="Arial"/>
          <w:szCs w:val="22"/>
        </w:rPr>
        <w:t xml:space="preserve"> will be reviewed for other relevant or similar</w:t>
      </w:r>
      <w:r w:rsidR="009C75AE" w:rsidRPr="00E97956">
        <w:rPr>
          <w:rFonts w:cs="Arial"/>
          <w:szCs w:val="22"/>
        </w:rPr>
        <w:t xml:space="preserve"> events that indicate adverse trends.</w:t>
      </w:r>
      <w:r w:rsidR="00E97956">
        <w:rPr>
          <w:rFonts w:cs="Arial"/>
          <w:szCs w:val="22"/>
        </w:rPr>
        <w:t xml:space="preserve"> </w:t>
      </w:r>
      <w:r w:rsidR="000D3389" w:rsidRPr="00E97956">
        <w:rPr>
          <w:rFonts w:cs="Arial"/>
          <w:szCs w:val="22"/>
        </w:rPr>
        <w:t xml:space="preserve">This information </w:t>
      </w:r>
      <w:r w:rsidR="009C75AE" w:rsidRPr="00E97956">
        <w:rPr>
          <w:rFonts w:cs="Arial"/>
          <w:szCs w:val="22"/>
        </w:rPr>
        <w:t>is also</w:t>
      </w:r>
      <w:r w:rsidR="000D3389" w:rsidRPr="00E97956">
        <w:rPr>
          <w:rFonts w:cs="Arial"/>
          <w:szCs w:val="22"/>
        </w:rPr>
        <w:t xml:space="preserve"> useful in determination of reportability </w:t>
      </w:r>
      <w:r w:rsidR="009C75AE" w:rsidRPr="00E97956">
        <w:rPr>
          <w:rFonts w:cs="Arial"/>
          <w:szCs w:val="22"/>
        </w:rPr>
        <w:t>and/</w:t>
      </w:r>
      <w:r w:rsidR="000D3389" w:rsidRPr="00E97956">
        <w:rPr>
          <w:rFonts w:cs="Arial"/>
          <w:szCs w:val="22"/>
        </w:rPr>
        <w:t>or investigation requirements.</w:t>
      </w:r>
      <w:r w:rsidR="00E97956">
        <w:rPr>
          <w:rFonts w:cs="Arial"/>
          <w:szCs w:val="22"/>
        </w:rPr>
        <w:t xml:space="preserve"> </w:t>
      </w:r>
    </w:p>
    <w:p w14:paraId="06595121" w14:textId="77777777" w:rsidR="00E97956" w:rsidRPr="00E97956" w:rsidRDefault="00E97956" w:rsidP="00E97956">
      <w:pPr>
        <w:pStyle w:val="ListParagraph"/>
        <w:ind w:left="1440"/>
        <w:rPr>
          <w:rFonts w:cs="Arial"/>
          <w:szCs w:val="22"/>
        </w:rPr>
      </w:pPr>
    </w:p>
    <w:p w14:paraId="5219C171" w14:textId="7FF839D4" w:rsidR="002D1E99" w:rsidRPr="00E97956" w:rsidRDefault="001147FE" w:rsidP="00E97956">
      <w:pPr>
        <w:pStyle w:val="ListParagraph"/>
        <w:numPr>
          <w:ilvl w:val="2"/>
          <w:numId w:val="2"/>
        </w:numPr>
        <w:ind w:left="1440" w:hanging="810"/>
        <w:rPr>
          <w:rFonts w:cs="Arial"/>
          <w:szCs w:val="22"/>
        </w:rPr>
      </w:pPr>
      <w:r w:rsidRPr="00E97956">
        <w:rPr>
          <w:rFonts w:eastAsia="Arial" w:cs="Arial"/>
          <w:bCs/>
          <w:u w:val="single"/>
        </w:rPr>
        <w:t>Investigation</w:t>
      </w:r>
      <w:r w:rsidR="000D3389" w:rsidRPr="00E97956">
        <w:rPr>
          <w:rFonts w:eastAsia="Arial" w:cs="Arial"/>
          <w:bCs/>
          <w:u w:val="single"/>
        </w:rPr>
        <w:t xml:space="preserve"> Determination</w:t>
      </w:r>
      <w:r w:rsidRPr="00E97956">
        <w:rPr>
          <w:rFonts w:eastAsia="Arial" w:cs="Arial"/>
          <w:bCs/>
        </w:rPr>
        <w:t>:</w:t>
      </w:r>
      <w:r w:rsidR="00D542F6" w:rsidRPr="00E97956">
        <w:rPr>
          <w:rFonts w:eastAsia="Arial" w:cs="Arial"/>
          <w:bCs/>
        </w:rPr>
        <w:t xml:space="preserve"> </w:t>
      </w:r>
      <w:r w:rsidRPr="00E97956">
        <w:rPr>
          <w:rFonts w:cs="Arial"/>
          <w:szCs w:val="22"/>
        </w:rPr>
        <w:t xml:space="preserve">All device complaints shall be investigated as per 21 CFR Part 820.198, unless an investigation was already performed for a similar complaint or the issue regarded in the complaint is being addressed per </w:t>
      </w:r>
      <w:r w:rsidR="009C75AE" w:rsidRPr="00E97956">
        <w:rPr>
          <w:rFonts w:cs="Arial"/>
          <w:szCs w:val="22"/>
        </w:rPr>
        <w:t>a supplier corrective action (</w:t>
      </w:r>
      <w:r w:rsidRPr="00E97956">
        <w:rPr>
          <w:rFonts w:eastAsia="Arial" w:cs="Arial"/>
          <w:color w:val="000000"/>
          <w:szCs w:val="22"/>
          <w:lang w:eastAsia="en-US"/>
        </w:rPr>
        <w:fldChar w:fldCharType="begin"/>
      </w:r>
      <w:r w:rsidRPr="00E97956">
        <w:rPr>
          <w:rFonts w:eastAsia="Arial" w:cs="Arial"/>
          <w:color w:val="000000"/>
          <w:szCs w:val="22"/>
          <w:lang w:eastAsia="en-US"/>
        </w:rPr>
        <w:instrText xml:space="preserve"> REF CAPA_name \h  \* MERGEFORMAT </w:instrText>
      </w:r>
      <w:r w:rsidRPr="00E97956">
        <w:rPr>
          <w:rFonts w:eastAsia="Arial" w:cs="Arial"/>
          <w:color w:val="000000"/>
          <w:szCs w:val="22"/>
          <w:lang w:eastAsia="en-US"/>
        </w:rPr>
      </w:r>
      <w:r w:rsidRPr="00E97956">
        <w:rPr>
          <w:rFonts w:eastAsia="Arial" w:cs="Arial"/>
          <w:color w:val="000000"/>
          <w:szCs w:val="22"/>
          <w:lang w:eastAsia="en-US"/>
        </w:rPr>
        <w:fldChar w:fldCharType="separate"/>
      </w:r>
      <w:r w:rsidR="00163B28" w:rsidRPr="00163B28">
        <w:rPr>
          <w:rFonts w:cs="Arial"/>
          <w:szCs w:val="22"/>
        </w:rPr>
        <w:t>SOP-002, Purchasing and Supplier Controls</w:t>
      </w:r>
      <w:r w:rsidRPr="00E97956">
        <w:rPr>
          <w:rFonts w:eastAsia="Arial" w:cs="Arial"/>
          <w:color w:val="000000"/>
          <w:szCs w:val="22"/>
          <w:lang w:eastAsia="en-US"/>
        </w:rPr>
        <w:fldChar w:fldCharType="end"/>
      </w:r>
      <w:r w:rsidR="009C75AE" w:rsidRPr="00E97956">
        <w:rPr>
          <w:rFonts w:eastAsia="Arial" w:cs="Arial"/>
          <w:color w:val="000000"/>
          <w:szCs w:val="22"/>
          <w:lang w:eastAsia="en-US"/>
        </w:rPr>
        <w:t>)</w:t>
      </w:r>
      <w:r w:rsidRPr="00E97956">
        <w:rPr>
          <w:rFonts w:eastAsia="Arial" w:cs="Arial"/>
          <w:color w:val="000000"/>
          <w:szCs w:val="22"/>
          <w:lang w:eastAsia="en-US"/>
        </w:rPr>
        <w:t>.</w:t>
      </w:r>
      <w:r w:rsidR="00D542F6" w:rsidRPr="00E97956">
        <w:rPr>
          <w:rFonts w:eastAsia="Arial" w:cs="Arial"/>
          <w:color w:val="000000"/>
          <w:szCs w:val="22"/>
          <w:lang w:eastAsia="en-US"/>
        </w:rPr>
        <w:t xml:space="preserve"> </w:t>
      </w:r>
    </w:p>
    <w:p w14:paraId="4C2E7175" w14:textId="1692BBD9" w:rsidR="001147FE" w:rsidRPr="007F1307" w:rsidRDefault="002D1E99" w:rsidP="007F1307">
      <w:pPr>
        <w:pStyle w:val="ListParagraph"/>
        <w:ind w:left="1440"/>
        <w:rPr>
          <w:rFonts w:eastAsia="Arial"/>
        </w:rPr>
      </w:pPr>
      <w:r>
        <w:rPr>
          <w:rFonts w:cs="Arial"/>
          <w:szCs w:val="22"/>
        </w:rPr>
        <w:br/>
      </w:r>
      <w:r w:rsidR="001147FE" w:rsidRPr="007F1307">
        <w:rPr>
          <w:rFonts w:eastAsia="Arial"/>
          <w:color w:val="000000"/>
          <w:lang w:eastAsia="en-US"/>
        </w:rPr>
        <w:t xml:space="preserve">NOTE: If no investigation is </w:t>
      </w:r>
      <w:r w:rsidR="009C75AE" w:rsidRPr="007F1307">
        <w:rPr>
          <w:rFonts w:eastAsia="Arial"/>
          <w:color w:val="000000"/>
          <w:lang w:eastAsia="en-US"/>
        </w:rPr>
        <w:t xml:space="preserve">to be </w:t>
      </w:r>
      <w:r w:rsidR="001147FE" w:rsidRPr="007F1307">
        <w:rPr>
          <w:rFonts w:eastAsia="Arial"/>
          <w:color w:val="000000"/>
          <w:lang w:eastAsia="en-US"/>
        </w:rPr>
        <w:t>performed, document the justific</w:t>
      </w:r>
      <w:r w:rsidR="009C75AE" w:rsidRPr="007F1307">
        <w:rPr>
          <w:rFonts w:eastAsia="Arial"/>
          <w:color w:val="000000"/>
          <w:lang w:eastAsia="en-US"/>
        </w:rPr>
        <w:t>ation and the person making the</w:t>
      </w:r>
      <w:r w:rsidR="001147FE" w:rsidRPr="007F1307">
        <w:rPr>
          <w:rFonts w:eastAsia="Arial"/>
          <w:color w:val="000000"/>
          <w:lang w:eastAsia="en-US"/>
        </w:rPr>
        <w:t xml:space="preserve"> determination on the </w:t>
      </w:r>
      <w:r w:rsidR="001147FE" w:rsidRPr="007F1307">
        <w:rPr>
          <w:rFonts w:eastAsia="Arial"/>
          <w:color w:val="000000"/>
          <w:lang w:eastAsia="en-US"/>
        </w:rPr>
        <w:fldChar w:fldCharType="begin"/>
      </w:r>
      <w:r w:rsidR="001147FE" w:rsidRPr="007F1307">
        <w:rPr>
          <w:rFonts w:eastAsia="Arial"/>
          <w:color w:val="000000"/>
          <w:lang w:eastAsia="en-US"/>
        </w:rPr>
        <w:instrText xml:space="preserve"> REF ComplaintForm_name \h  \* MERGEFORMAT </w:instrText>
      </w:r>
      <w:r w:rsidR="001147FE" w:rsidRPr="00E97956">
        <w:rPr>
          <w:rFonts w:eastAsia="Arial"/>
          <w:lang w:eastAsia="en-US"/>
        </w:rPr>
      </w:r>
      <w:r w:rsidR="001147FE" w:rsidRPr="007F1307">
        <w:rPr>
          <w:rFonts w:eastAsia="Arial"/>
          <w:color w:val="000000"/>
          <w:lang w:eastAsia="en-US"/>
        </w:rPr>
        <w:fldChar w:fldCharType="separate"/>
      </w:r>
      <w:r w:rsidR="00163B28" w:rsidRPr="00163B28">
        <w:t>F-003A, Complaint Handling Form</w:t>
      </w:r>
      <w:r w:rsidR="001147FE" w:rsidRPr="007F1307">
        <w:rPr>
          <w:rFonts w:eastAsia="Arial"/>
          <w:color w:val="000000"/>
          <w:lang w:eastAsia="en-US"/>
        </w:rPr>
        <w:fldChar w:fldCharType="end"/>
      </w:r>
      <w:r w:rsidR="001147FE" w:rsidRPr="007F1307">
        <w:rPr>
          <w:rFonts w:eastAsia="Arial"/>
          <w:color w:val="000000"/>
          <w:lang w:eastAsia="en-US"/>
        </w:rPr>
        <w:t>.</w:t>
      </w:r>
    </w:p>
    <w:p w14:paraId="42C59CD9" w14:textId="77777777" w:rsidR="00291506" w:rsidRPr="00E97956" w:rsidRDefault="00291506" w:rsidP="00E97956">
      <w:pPr>
        <w:pStyle w:val="ListParagraph"/>
        <w:ind w:left="360"/>
        <w:rPr>
          <w:rFonts w:cs="Arial"/>
          <w:b/>
          <w:szCs w:val="22"/>
        </w:rPr>
      </w:pPr>
    </w:p>
    <w:p w14:paraId="6B7373BB" w14:textId="408269FF" w:rsidR="00CF1BF9" w:rsidRPr="00E97956" w:rsidRDefault="00CF1BF9" w:rsidP="00E97956">
      <w:pPr>
        <w:pStyle w:val="ListParagraph"/>
        <w:numPr>
          <w:ilvl w:val="1"/>
          <w:numId w:val="2"/>
        </w:numPr>
        <w:rPr>
          <w:rFonts w:cs="Arial"/>
          <w:b/>
          <w:szCs w:val="22"/>
        </w:rPr>
      </w:pPr>
      <w:r w:rsidRPr="00E97956">
        <w:rPr>
          <w:rFonts w:cs="Arial"/>
          <w:b/>
          <w:szCs w:val="22"/>
        </w:rPr>
        <w:t>Device Complaint Investigation</w:t>
      </w:r>
      <w:r w:rsidR="00EA3889" w:rsidRPr="00E97956">
        <w:rPr>
          <w:rFonts w:cs="Arial"/>
          <w:b/>
          <w:szCs w:val="22"/>
        </w:rPr>
        <w:t xml:space="preserve"> </w:t>
      </w:r>
      <w:r w:rsidR="00EA3889" w:rsidRPr="00E97956">
        <w:rPr>
          <w:rFonts w:cs="Arial"/>
          <w:szCs w:val="22"/>
        </w:rPr>
        <w:t>(Section 3, F-003A Complaint Handling Form)</w:t>
      </w:r>
    </w:p>
    <w:p w14:paraId="66291FE5" w14:textId="77777777" w:rsidR="00E97956" w:rsidRPr="00E97956" w:rsidRDefault="00E97956" w:rsidP="00E97956">
      <w:pPr>
        <w:pStyle w:val="ListParagraph"/>
        <w:ind w:left="792"/>
        <w:rPr>
          <w:rFonts w:cs="Arial"/>
          <w:b/>
          <w:szCs w:val="22"/>
        </w:rPr>
      </w:pPr>
    </w:p>
    <w:p w14:paraId="41C44823" w14:textId="77AEE3FA" w:rsidR="00795D62" w:rsidRPr="00E97956" w:rsidRDefault="001147FE" w:rsidP="00E97956">
      <w:pPr>
        <w:pStyle w:val="ListParagraph"/>
        <w:numPr>
          <w:ilvl w:val="2"/>
          <w:numId w:val="2"/>
        </w:numPr>
        <w:tabs>
          <w:tab w:val="left" w:pos="1350"/>
        </w:tabs>
        <w:ind w:left="1354" w:hanging="634"/>
        <w:rPr>
          <w:rFonts w:cs="Arial"/>
          <w:szCs w:val="22"/>
        </w:rPr>
      </w:pPr>
      <w:r w:rsidRPr="00E97956">
        <w:rPr>
          <w:rFonts w:cs="Arial"/>
          <w:szCs w:val="22"/>
          <w:u w:val="single"/>
        </w:rPr>
        <w:t>Overview:</w:t>
      </w:r>
      <w:r w:rsidRPr="00E97956">
        <w:rPr>
          <w:rFonts w:cs="Arial"/>
          <w:szCs w:val="22"/>
        </w:rPr>
        <w:t xml:space="preserve"> If a</w:t>
      </w:r>
      <w:r w:rsidR="00EA3889" w:rsidRPr="00E97956">
        <w:rPr>
          <w:rFonts w:cs="Arial"/>
          <w:szCs w:val="22"/>
        </w:rPr>
        <w:t>n investigation is required, Operations will forward the complaint form to IsoRay (the contract manufacturer) for investigation</w:t>
      </w:r>
      <w:r w:rsidRPr="00E97956">
        <w:rPr>
          <w:rFonts w:cs="Arial"/>
          <w:szCs w:val="22"/>
        </w:rPr>
        <w:t xml:space="preserve">. </w:t>
      </w:r>
      <w:r w:rsidRPr="00E97956">
        <w:rPr>
          <w:rFonts w:eastAsia="Arial" w:cs="Arial"/>
          <w:color w:val="000000"/>
          <w:lang w:eastAsia="en-US"/>
        </w:rPr>
        <w:t xml:space="preserve">The activities and results of the Complaint Investigation shall be documented in Section 2 of </w:t>
      </w:r>
      <w:r w:rsidRPr="00E97956">
        <w:rPr>
          <w:rFonts w:eastAsia="Arial" w:cs="Arial"/>
          <w:color w:val="000000"/>
          <w:szCs w:val="22"/>
          <w:lang w:eastAsia="en-US"/>
        </w:rPr>
        <w:t xml:space="preserve">the </w:t>
      </w:r>
      <w:r w:rsidRPr="00E97956">
        <w:rPr>
          <w:rFonts w:eastAsia="Arial" w:cs="Arial"/>
          <w:color w:val="000000"/>
          <w:szCs w:val="22"/>
          <w:lang w:eastAsia="en-US"/>
        </w:rPr>
        <w:fldChar w:fldCharType="begin"/>
      </w:r>
      <w:r w:rsidRPr="00E97956">
        <w:rPr>
          <w:rFonts w:eastAsia="Arial" w:cs="Arial"/>
          <w:color w:val="000000"/>
          <w:szCs w:val="22"/>
          <w:lang w:eastAsia="en-US"/>
        </w:rPr>
        <w:instrText xml:space="preserve"> REF ComplaintForm_name \h  \* MERGEFORMAT </w:instrText>
      </w:r>
      <w:r w:rsidRPr="00E97956">
        <w:rPr>
          <w:rFonts w:eastAsia="Arial" w:cs="Arial"/>
          <w:color w:val="000000"/>
          <w:szCs w:val="22"/>
          <w:lang w:eastAsia="en-US"/>
        </w:rPr>
      </w:r>
      <w:r w:rsidRPr="00E97956">
        <w:rPr>
          <w:rFonts w:eastAsia="Arial" w:cs="Arial"/>
          <w:color w:val="000000"/>
          <w:szCs w:val="22"/>
          <w:lang w:eastAsia="en-US"/>
        </w:rPr>
        <w:fldChar w:fldCharType="separate"/>
      </w:r>
      <w:r w:rsidR="00163B28" w:rsidRPr="00163B28">
        <w:rPr>
          <w:rFonts w:cs="Arial"/>
          <w:szCs w:val="22"/>
        </w:rPr>
        <w:t>F-003A, Complaint Handling Form</w:t>
      </w:r>
      <w:r w:rsidRPr="00E97956">
        <w:rPr>
          <w:rFonts w:eastAsia="Arial" w:cs="Arial"/>
          <w:color w:val="000000"/>
          <w:szCs w:val="22"/>
          <w:lang w:eastAsia="en-US"/>
        </w:rPr>
        <w:fldChar w:fldCharType="end"/>
      </w:r>
      <w:r w:rsidR="00C814AC" w:rsidRPr="00E97956">
        <w:rPr>
          <w:rFonts w:eastAsia="Arial" w:cs="Arial"/>
          <w:color w:val="000000"/>
          <w:szCs w:val="22"/>
          <w:lang w:eastAsia="en-US"/>
        </w:rPr>
        <w:t xml:space="preserve"> for GT Medical’s evaluation.</w:t>
      </w:r>
      <w:r w:rsidR="00E97956">
        <w:rPr>
          <w:rFonts w:eastAsia="Arial" w:cs="Arial"/>
          <w:color w:val="000000"/>
          <w:szCs w:val="22"/>
          <w:lang w:eastAsia="en-US"/>
        </w:rPr>
        <w:t xml:space="preserve"> </w:t>
      </w:r>
      <w:r w:rsidR="00C814AC" w:rsidRPr="00E97956">
        <w:rPr>
          <w:rFonts w:eastAsia="Arial" w:cs="Arial"/>
          <w:color w:val="000000"/>
          <w:szCs w:val="22"/>
          <w:lang w:eastAsia="en-US"/>
        </w:rPr>
        <w:t xml:space="preserve">IsoRay shall determine root cause and whether or not the product conformed to specifications. </w:t>
      </w:r>
    </w:p>
    <w:p w14:paraId="31797B27" w14:textId="77777777" w:rsidR="00E97956" w:rsidRPr="00E97956" w:rsidRDefault="00E97956" w:rsidP="00E97956">
      <w:pPr>
        <w:pStyle w:val="ListParagraph"/>
        <w:tabs>
          <w:tab w:val="left" w:pos="1350"/>
        </w:tabs>
        <w:ind w:left="1354"/>
        <w:rPr>
          <w:rFonts w:cs="Arial"/>
          <w:szCs w:val="22"/>
        </w:rPr>
      </w:pPr>
    </w:p>
    <w:p w14:paraId="3B660FDB" w14:textId="38BE8EE2" w:rsidR="00C814AC" w:rsidRDefault="00C814AC" w:rsidP="00E97956">
      <w:pPr>
        <w:pStyle w:val="ListParagraph"/>
        <w:numPr>
          <w:ilvl w:val="2"/>
          <w:numId w:val="2"/>
        </w:numPr>
        <w:tabs>
          <w:tab w:val="left" w:pos="1350"/>
        </w:tabs>
        <w:ind w:left="1354" w:hanging="634"/>
        <w:rPr>
          <w:rFonts w:cs="Arial"/>
          <w:szCs w:val="22"/>
        </w:rPr>
      </w:pPr>
      <w:r w:rsidRPr="00E97956">
        <w:rPr>
          <w:rFonts w:cs="Arial"/>
          <w:szCs w:val="22"/>
          <w:u w:val="single"/>
        </w:rPr>
        <w:t>Risk Management</w:t>
      </w:r>
      <w:r w:rsidRPr="00E97956">
        <w:rPr>
          <w:rFonts w:cs="Arial"/>
          <w:szCs w:val="22"/>
        </w:rPr>
        <w:t>: IsoRay shall update its risk management documentation, as appropriate, depending on the results of the investigation.</w:t>
      </w:r>
      <w:r w:rsidR="00E97956">
        <w:rPr>
          <w:rFonts w:cs="Arial"/>
          <w:szCs w:val="22"/>
        </w:rPr>
        <w:t xml:space="preserve"> </w:t>
      </w:r>
    </w:p>
    <w:p w14:paraId="14A8C9E6" w14:textId="77777777" w:rsidR="00E97956" w:rsidRPr="00E97956" w:rsidRDefault="00E97956" w:rsidP="00E97956">
      <w:pPr>
        <w:pStyle w:val="ListParagraph"/>
        <w:rPr>
          <w:rFonts w:cs="Arial"/>
          <w:szCs w:val="22"/>
        </w:rPr>
      </w:pPr>
    </w:p>
    <w:p w14:paraId="2C15DD37" w14:textId="26CA77BD" w:rsidR="00C814AC" w:rsidRPr="00E97956" w:rsidRDefault="00C814AC" w:rsidP="00E97956">
      <w:pPr>
        <w:pStyle w:val="ListParagraph"/>
        <w:numPr>
          <w:ilvl w:val="2"/>
          <w:numId w:val="2"/>
        </w:numPr>
        <w:tabs>
          <w:tab w:val="left" w:pos="1350"/>
        </w:tabs>
        <w:ind w:left="1354" w:hanging="634"/>
        <w:rPr>
          <w:rFonts w:cs="Arial"/>
          <w:szCs w:val="22"/>
          <w:u w:val="single"/>
        </w:rPr>
      </w:pPr>
      <w:r w:rsidRPr="00E97956">
        <w:rPr>
          <w:rFonts w:cs="Arial"/>
          <w:szCs w:val="22"/>
          <w:u w:val="single"/>
        </w:rPr>
        <w:lastRenderedPageBreak/>
        <w:t>Containment:</w:t>
      </w:r>
      <w:r w:rsidRPr="00E97956">
        <w:rPr>
          <w:rFonts w:cs="Arial"/>
          <w:szCs w:val="22"/>
        </w:rPr>
        <w:t xml:space="preserve"> IsoRay shall take appropriate containment actions for nonconforming or potentially nonconforming product.</w:t>
      </w:r>
      <w:r w:rsidR="00E97956">
        <w:rPr>
          <w:rFonts w:cs="Arial"/>
          <w:szCs w:val="22"/>
        </w:rPr>
        <w:t xml:space="preserve"> </w:t>
      </w:r>
      <w:r w:rsidRPr="00E97956">
        <w:rPr>
          <w:rFonts w:cs="Arial"/>
          <w:szCs w:val="22"/>
        </w:rPr>
        <w:t>In the case where the product has been released to the customer, GT Medical shall be notified immediately (same day).</w:t>
      </w:r>
      <w:r w:rsidR="00E97956">
        <w:rPr>
          <w:rFonts w:cs="Arial"/>
          <w:szCs w:val="22"/>
        </w:rPr>
        <w:t xml:space="preserve"> </w:t>
      </w:r>
      <w:r w:rsidR="00366427" w:rsidRPr="00E97956">
        <w:rPr>
          <w:rFonts w:cs="Arial"/>
          <w:szCs w:val="22"/>
        </w:rPr>
        <w:t>GT Medical shall take appropriate containment actions, including recall, as necessary.</w:t>
      </w:r>
      <w:r w:rsidR="00E97956">
        <w:rPr>
          <w:rFonts w:cs="Arial"/>
          <w:szCs w:val="22"/>
        </w:rPr>
        <w:t xml:space="preserve"> </w:t>
      </w:r>
    </w:p>
    <w:p w14:paraId="3154B8AB" w14:textId="77777777" w:rsidR="00CF1BF9" w:rsidRPr="00E97956" w:rsidRDefault="00CF1BF9" w:rsidP="00E97956">
      <w:pPr>
        <w:pStyle w:val="ListParagraph"/>
        <w:ind w:left="1224"/>
        <w:rPr>
          <w:rFonts w:cs="Arial"/>
          <w:szCs w:val="22"/>
        </w:rPr>
      </w:pPr>
    </w:p>
    <w:p w14:paraId="1EE2DBB6" w14:textId="3A51AE95" w:rsidR="00EA3889" w:rsidRPr="00E97956" w:rsidRDefault="00EA3889" w:rsidP="00E97956">
      <w:pPr>
        <w:pStyle w:val="ListParagraph"/>
        <w:numPr>
          <w:ilvl w:val="1"/>
          <w:numId w:val="2"/>
        </w:numPr>
        <w:tabs>
          <w:tab w:val="left" w:pos="1350"/>
        </w:tabs>
        <w:rPr>
          <w:rFonts w:cs="Arial"/>
          <w:b/>
          <w:szCs w:val="22"/>
        </w:rPr>
      </w:pPr>
      <w:bookmarkStart w:id="5" w:name="_Ref474308708"/>
      <w:r w:rsidRPr="00E97956">
        <w:rPr>
          <w:rFonts w:cs="Arial"/>
          <w:b/>
          <w:szCs w:val="22"/>
        </w:rPr>
        <w:t xml:space="preserve">Supplier Corrective Actions </w:t>
      </w:r>
      <w:r w:rsidR="00C814AC" w:rsidRPr="00E97956">
        <w:rPr>
          <w:rFonts w:cs="Arial"/>
          <w:szCs w:val="22"/>
        </w:rPr>
        <w:t>(Section 4, F-003A Complaint Handling Form)</w:t>
      </w:r>
    </w:p>
    <w:p w14:paraId="6AA36E75" w14:textId="77777777" w:rsidR="00E97956" w:rsidRPr="00E97956" w:rsidRDefault="00E97956" w:rsidP="00E97956">
      <w:pPr>
        <w:pStyle w:val="ListParagraph"/>
        <w:tabs>
          <w:tab w:val="left" w:pos="1350"/>
        </w:tabs>
        <w:ind w:left="792"/>
        <w:rPr>
          <w:rFonts w:cs="Arial"/>
          <w:b/>
          <w:szCs w:val="22"/>
        </w:rPr>
      </w:pPr>
    </w:p>
    <w:p w14:paraId="1231052A" w14:textId="785B736C" w:rsidR="00EA3889" w:rsidRPr="00E97956" w:rsidRDefault="00EA3889" w:rsidP="00E97956">
      <w:pPr>
        <w:pStyle w:val="ListParagraph"/>
        <w:numPr>
          <w:ilvl w:val="2"/>
          <w:numId w:val="2"/>
        </w:numPr>
        <w:tabs>
          <w:tab w:val="left" w:pos="1350"/>
        </w:tabs>
        <w:ind w:left="1440" w:hanging="630"/>
        <w:rPr>
          <w:rFonts w:cs="Arial"/>
          <w:szCs w:val="22"/>
        </w:rPr>
      </w:pPr>
      <w:r w:rsidRPr="00E97956">
        <w:rPr>
          <w:rFonts w:cs="Arial"/>
          <w:szCs w:val="22"/>
          <w:u w:val="single"/>
        </w:rPr>
        <w:t>Overview</w:t>
      </w:r>
      <w:r w:rsidRPr="00E97956">
        <w:rPr>
          <w:rFonts w:cs="Arial"/>
          <w:szCs w:val="22"/>
        </w:rPr>
        <w:t>:</w:t>
      </w:r>
      <w:r w:rsidR="00E97956">
        <w:rPr>
          <w:rFonts w:cs="Arial"/>
          <w:szCs w:val="22"/>
        </w:rPr>
        <w:t xml:space="preserve"> </w:t>
      </w:r>
      <w:r w:rsidR="006F242E">
        <w:rPr>
          <w:rFonts w:cs="Arial"/>
          <w:szCs w:val="22"/>
        </w:rPr>
        <w:t>Action in response to a complaint due to nonconforming product shall be proportionate to the effect(s), or potential effect(s) of the nonconformity.  Most commonly this is covered by supplier notification, and as applicable, supplier corrective action.</w:t>
      </w:r>
      <w:r w:rsidR="00E84BC9">
        <w:rPr>
          <w:rFonts w:cs="Arial"/>
          <w:szCs w:val="22"/>
        </w:rPr>
        <w:t xml:space="preserve">  </w:t>
      </w:r>
      <w:r w:rsidRPr="00E97956">
        <w:rPr>
          <w:rFonts w:cs="Arial"/>
          <w:szCs w:val="22"/>
        </w:rPr>
        <w:t xml:space="preserve">If GT Medical determines from the investigation that corrective or preventive actions are required to resolve a complaint, the procedure </w:t>
      </w:r>
      <w:r w:rsidRPr="00E97956">
        <w:rPr>
          <w:rFonts w:eastAsia="Arial" w:cs="Arial"/>
          <w:color w:val="000000"/>
          <w:szCs w:val="22"/>
          <w:highlight w:val="yellow"/>
          <w:lang w:eastAsia="en-US"/>
        </w:rPr>
        <w:fldChar w:fldCharType="begin"/>
      </w:r>
      <w:r w:rsidRPr="00E97956">
        <w:rPr>
          <w:rFonts w:eastAsia="Arial" w:cs="Arial"/>
          <w:color w:val="000000"/>
          <w:szCs w:val="22"/>
          <w:lang w:eastAsia="en-US"/>
        </w:rPr>
        <w:instrText xml:space="preserve"> REF CAPA_name \h </w:instrText>
      </w:r>
      <w:r w:rsidRPr="00E97956">
        <w:rPr>
          <w:rFonts w:eastAsia="Arial" w:cs="Arial"/>
          <w:color w:val="000000"/>
          <w:szCs w:val="22"/>
          <w:highlight w:val="yellow"/>
          <w:lang w:eastAsia="en-US"/>
        </w:rPr>
        <w:instrText xml:space="preserve"> \* MERGEFORMAT </w:instrText>
      </w:r>
      <w:r w:rsidRPr="00E97956">
        <w:rPr>
          <w:rFonts w:eastAsia="Arial" w:cs="Arial"/>
          <w:color w:val="000000"/>
          <w:szCs w:val="22"/>
          <w:highlight w:val="yellow"/>
          <w:lang w:eastAsia="en-US"/>
        </w:rPr>
      </w:r>
      <w:r w:rsidRPr="00E97956">
        <w:rPr>
          <w:rFonts w:eastAsia="Arial" w:cs="Arial"/>
          <w:color w:val="000000"/>
          <w:szCs w:val="22"/>
          <w:highlight w:val="yellow"/>
          <w:lang w:eastAsia="en-US"/>
        </w:rPr>
        <w:fldChar w:fldCharType="separate"/>
      </w:r>
      <w:r w:rsidR="00163B28" w:rsidRPr="00163B28">
        <w:rPr>
          <w:rFonts w:cs="Arial"/>
          <w:szCs w:val="22"/>
        </w:rPr>
        <w:t>SOP-002, Purchasing and Supplier Controls</w:t>
      </w:r>
      <w:r w:rsidRPr="00E97956">
        <w:rPr>
          <w:rFonts w:eastAsia="Arial" w:cs="Arial"/>
          <w:color w:val="000000"/>
          <w:szCs w:val="22"/>
          <w:highlight w:val="yellow"/>
          <w:lang w:eastAsia="en-US"/>
        </w:rPr>
        <w:fldChar w:fldCharType="end"/>
      </w:r>
      <w:r w:rsidRPr="00E97956">
        <w:rPr>
          <w:rFonts w:eastAsia="Arial" w:cs="Arial"/>
          <w:color w:val="000000"/>
          <w:szCs w:val="22"/>
          <w:lang w:eastAsia="en-US"/>
        </w:rPr>
        <w:t xml:space="preserve"> </w:t>
      </w:r>
      <w:r w:rsidRPr="00E97956">
        <w:rPr>
          <w:rFonts w:cs="Arial"/>
          <w:szCs w:val="22"/>
        </w:rPr>
        <w:t>shall be followed to request corrective/preventive action.</w:t>
      </w:r>
      <w:r w:rsidR="00E97956">
        <w:rPr>
          <w:rFonts w:cs="Arial"/>
          <w:szCs w:val="22"/>
        </w:rPr>
        <w:t xml:space="preserve"> </w:t>
      </w:r>
      <w:r w:rsidR="00E84BC9">
        <w:rPr>
          <w:rFonts w:cs="Arial"/>
          <w:szCs w:val="22"/>
        </w:rPr>
        <w:t xml:space="preserve">Documentation of supplier corrective action per SOP-002 is required if the complaint occurred as a result of a nonconformance related to product safety or efficacy.  </w:t>
      </w:r>
      <w:r w:rsidRPr="00E97956">
        <w:rPr>
          <w:rFonts w:cs="Arial"/>
          <w:szCs w:val="22"/>
        </w:rPr>
        <w:t>If IsoRay has already initiated corrective or preventive action as a result of the investigation, a SCAR is not required</w:t>
      </w:r>
      <w:r w:rsidR="00600008" w:rsidRPr="00E97956">
        <w:rPr>
          <w:rFonts w:cs="Arial"/>
          <w:szCs w:val="22"/>
        </w:rPr>
        <w:t xml:space="preserve"> (as long as a reference to </w:t>
      </w:r>
      <w:proofErr w:type="spellStart"/>
      <w:r w:rsidR="00600008" w:rsidRPr="00E97956">
        <w:rPr>
          <w:rFonts w:cs="Arial"/>
          <w:szCs w:val="22"/>
        </w:rPr>
        <w:t>IsoRays</w:t>
      </w:r>
      <w:proofErr w:type="spellEnd"/>
      <w:r w:rsidR="00600008" w:rsidRPr="00E97956">
        <w:rPr>
          <w:rFonts w:cs="Arial"/>
          <w:szCs w:val="22"/>
        </w:rPr>
        <w:t xml:space="preserve"> CA/PA is documented in the Complaint Handling Form</w:t>
      </w:r>
      <w:r w:rsidR="00100ADC" w:rsidRPr="00E97956">
        <w:rPr>
          <w:rFonts w:cs="Arial"/>
          <w:szCs w:val="22"/>
        </w:rPr>
        <w:t>)</w:t>
      </w:r>
      <w:r w:rsidRPr="00E97956">
        <w:rPr>
          <w:rFonts w:cs="Arial"/>
          <w:szCs w:val="22"/>
        </w:rPr>
        <w:t xml:space="preserve">. </w:t>
      </w:r>
    </w:p>
    <w:p w14:paraId="703BCFD3" w14:textId="77777777" w:rsidR="00EA3889" w:rsidRPr="00E97956" w:rsidRDefault="00EA3889" w:rsidP="00E97956">
      <w:pPr>
        <w:pStyle w:val="ListParagraph"/>
        <w:tabs>
          <w:tab w:val="left" w:pos="1350"/>
        </w:tabs>
        <w:ind w:left="1440"/>
        <w:rPr>
          <w:rFonts w:cs="Arial"/>
          <w:szCs w:val="22"/>
        </w:rPr>
      </w:pPr>
    </w:p>
    <w:p w14:paraId="0E3A847A" w14:textId="1AD160AA" w:rsidR="0095743D" w:rsidRDefault="002147A4" w:rsidP="00E97956">
      <w:pPr>
        <w:pStyle w:val="ListParagraph"/>
        <w:numPr>
          <w:ilvl w:val="1"/>
          <w:numId w:val="2"/>
        </w:numPr>
        <w:rPr>
          <w:rFonts w:cs="Arial"/>
          <w:szCs w:val="22"/>
        </w:rPr>
      </w:pPr>
      <w:r w:rsidRPr="00E97956">
        <w:rPr>
          <w:rFonts w:cs="Arial"/>
          <w:b/>
          <w:szCs w:val="22"/>
        </w:rPr>
        <w:t>Closure of Device Complaint</w:t>
      </w:r>
      <w:bookmarkEnd w:id="5"/>
      <w:r w:rsidR="00C814AC" w:rsidRPr="00E97956">
        <w:rPr>
          <w:rFonts w:cs="Arial"/>
          <w:b/>
          <w:szCs w:val="22"/>
        </w:rPr>
        <w:t xml:space="preserve"> </w:t>
      </w:r>
      <w:r w:rsidR="00C814AC" w:rsidRPr="00E97956">
        <w:rPr>
          <w:rFonts w:cs="Arial"/>
          <w:szCs w:val="22"/>
        </w:rPr>
        <w:t>(Section 5, F-003A Complaint Handling Form)</w:t>
      </w:r>
    </w:p>
    <w:p w14:paraId="6D760B48" w14:textId="77777777" w:rsidR="00E97956" w:rsidRPr="00E97956" w:rsidRDefault="00E97956" w:rsidP="00E97956">
      <w:pPr>
        <w:pStyle w:val="ListParagraph"/>
        <w:ind w:left="792"/>
        <w:rPr>
          <w:rFonts w:cs="Arial"/>
          <w:szCs w:val="22"/>
        </w:rPr>
      </w:pPr>
    </w:p>
    <w:p w14:paraId="62859217" w14:textId="54449047" w:rsidR="00E703E3" w:rsidRDefault="0095743D" w:rsidP="00E97956">
      <w:pPr>
        <w:pStyle w:val="ListParagraph"/>
        <w:numPr>
          <w:ilvl w:val="2"/>
          <w:numId w:val="2"/>
        </w:numPr>
        <w:ind w:left="1440" w:hanging="720"/>
        <w:rPr>
          <w:rFonts w:cs="Arial"/>
          <w:szCs w:val="22"/>
        </w:rPr>
      </w:pPr>
      <w:r w:rsidRPr="00E97956">
        <w:rPr>
          <w:rFonts w:cs="Arial"/>
          <w:szCs w:val="22"/>
          <w:u w:val="single"/>
        </w:rPr>
        <w:t>Overview</w:t>
      </w:r>
      <w:r w:rsidRPr="00E97956">
        <w:rPr>
          <w:rFonts w:cs="Arial"/>
          <w:szCs w:val="22"/>
        </w:rPr>
        <w:t xml:space="preserve">: </w:t>
      </w:r>
      <w:r w:rsidR="00E703E3" w:rsidRPr="00E97956">
        <w:rPr>
          <w:rFonts w:cs="Arial"/>
          <w:szCs w:val="22"/>
        </w:rPr>
        <w:t xml:space="preserve">Upon resolution of the complaint, the </w:t>
      </w:r>
      <w:r w:rsidR="000A6DE4" w:rsidRPr="00E97956">
        <w:rPr>
          <w:rFonts w:cs="Arial"/>
          <w:szCs w:val="22"/>
        </w:rPr>
        <w:t>Quality Representative or delegate</w:t>
      </w:r>
      <w:r w:rsidR="00A2298C" w:rsidRPr="00E97956">
        <w:rPr>
          <w:rFonts w:cs="Arial"/>
          <w:szCs w:val="22"/>
        </w:rPr>
        <w:t xml:space="preserve"> </w:t>
      </w:r>
      <w:r w:rsidR="00E703E3" w:rsidRPr="00E97956">
        <w:rPr>
          <w:rFonts w:cs="Arial"/>
          <w:szCs w:val="22"/>
        </w:rPr>
        <w:t xml:space="preserve">shall sign and close complaint on the </w:t>
      </w:r>
      <w:r w:rsidR="00E703E3" w:rsidRPr="00E97956">
        <w:rPr>
          <w:rFonts w:cs="Arial"/>
          <w:szCs w:val="22"/>
        </w:rPr>
        <w:fldChar w:fldCharType="begin"/>
      </w:r>
      <w:r w:rsidR="00E703E3" w:rsidRPr="00E97956">
        <w:rPr>
          <w:rFonts w:cs="Arial"/>
          <w:szCs w:val="22"/>
        </w:rPr>
        <w:instrText xml:space="preserve"> REF ComplaintForm_name \h  \* MERGEFORMAT </w:instrText>
      </w:r>
      <w:r w:rsidR="00E703E3" w:rsidRPr="00E97956">
        <w:rPr>
          <w:rFonts w:cs="Arial"/>
          <w:szCs w:val="22"/>
        </w:rPr>
      </w:r>
      <w:r w:rsidR="00E703E3" w:rsidRPr="00E97956">
        <w:rPr>
          <w:rFonts w:cs="Arial"/>
          <w:szCs w:val="22"/>
        </w:rPr>
        <w:fldChar w:fldCharType="separate"/>
      </w:r>
      <w:r w:rsidR="00163B28" w:rsidRPr="00163B28">
        <w:rPr>
          <w:rFonts w:cs="Arial"/>
          <w:szCs w:val="22"/>
        </w:rPr>
        <w:t>F-003A, Complaint Handling Form</w:t>
      </w:r>
      <w:r w:rsidR="00E703E3" w:rsidRPr="00E97956">
        <w:rPr>
          <w:rFonts w:cs="Arial"/>
          <w:szCs w:val="22"/>
        </w:rPr>
        <w:fldChar w:fldCharType="end"/>
      </w:r>
      <w:r w:rsidR="00E703E3" w:rsidRPr="00E97956">
        <w:rPr>
          <w:rFonts w:cs="Arial"/>
          <w:szCs w:val="22"/>
        </w:rPr>
        <w:t xml:space="preserve">. </w:t>
      </w:r>
    </w:p>
    <w:p w14:paraId="47E77BD3" w14:textId="77777777" w:rsidR="00E97956" w:rsidRPr="00E97956" w:rsidRDefault="00E97956" w:rsidP="00E97956">
      <w:pPr>
        <w:pStyle w:val="ListParagraph"/>
        <w:ind w:left="1224"/>
        <w:rPr>
          <w:rFonts w:cs="Arial"/>
          <w:szCs w:val="22"/>
        </w:rPr>
      </w:pPr>
    </w:p>
    <w:p w14:paraId="074F5C3F" w14:textId="42F0C872" w:rsidR="00914A85" w:rsidRPr="00E97956" w:rsidRDefault="00E703E3" w:rsidP="00E97956">
      <w:pPr>
        <w:pStyle w:val="ListParagraph"/>
        <w:ind w:left="2127"/>
        <w:rPr>
          <w:rFonts w:eastAsia="Arial" w:cs="Arial"/>
          <w:color w:val="000000"/>
          <w:szCs w:val="22"/>
          <w:lang w:eastAsia="en-US"/>
        </w:rPr>
      </w:pPr>
      <w:r w:rsidRPr="00E97956">
        <w:rPr>
          <w:rFonts w:eastAsia="Arial" w:cs="Arial"/>
          <w:color w:val="000000"/>
          <w:szCs w:val="22"/>
          <w:lang w:eastAsia="en-US"/>
        </w:rPr>
        <w:t xml:space="preserve">Note: A complaint can be closed even if a related SCAR is still opened as long as the actions to resolve the complaint are planned and are taken into the SCAR process as per </w:t>
      </w:r>
      <w:r w:rsidRPr="00E97956">
        <w:rPr>
          <w:rFonts w:eastAsia="Arial" w:cs="Arial"/>
          <w:color w:val="000000"/>
          <w:szCs w:val="22"/>
          <w:highlight w:val="yellow"/>
          <w:lang w:eastAsia="en-US"/>
        </w:rPr>
        <w:fldChar w:fldCharType="begin"/>
      </w:r>
      <w:r w:rsidRPr="00E97956">
        <w:rPr>
          <w:rFonts w:eastAsia="Arial" w:cs="Arial"/>
          <w:color w:val="000000"/>
          <w:szCs w:val="22"/>
          <w:lang w:eastAsia="en-US"/>
        </w:rPr>
        <w:instrText xml:space="preserve"> REF CAPA_name \h </w:instrText>
      </w:r>
      <w:r w:rsidR="00E97956" w:rsidRPr="00E97956">
        <w:rPr>
          <w:rFonts w:eastAsia="Arial" w:cs="Arial"/>
          <w:color w:val="000000"/>
          <w:szCs w:val="22"/>
          <w:highlight w:val="yellow"/>
          <w:lang w:eastAsia="en-US"/>
        </w:rPr>
        <w:instrText xml:space="preserve"> \* MERGEFORMAT </w:instrText>
      </w:r>
      <w:r w:rsidRPr="00E97956">
        <w:rPr>
          <w:rFonts w:eastAsia="Arial" w:cs="Arial"/>
          <w:color w:val="000000"/>
          <w:szCs w:val="22"/>
          <w:highlight w:val="yellow"/>
          <w:lang w:eastAsia="en-US"/>
        </w:rPr>
      </w:r>
      <w:r w:rsidRPr="00E97956">
        <w:rPr>
          <w:rFonts w:eastAsia="Arial" w:cs="Arial"/>
          <w:color w:val="000000"/>
          <w:szCs w:val="22"/>
          <w:highlight w:val="yellow"/>
          <w:lang w:eastAsia="en-US"/>
        </w:rPr>
        <w:fldChar w:fldCharType="separate"/>
      </w:r>
      <w:r w:rsidR="00163B28" w:rsidRPr="00E97956">
        <w:rPr>
          <w:rFonts w:cs="Arial"/>
        </w:rPr>
        <w:t>SOP-002, Purchasing and Supplier Controls</w:t>
      </w:r>
      <w:r w:rsidRPr="00E97956">
        <w:rPr>
          <w:rFonts w:eastAsia="Arial" w:cs="Arial"/>
          <w:color w:val="000000"/>
          <w:szCs w:val="22"/>
          <w:highlight w:val="yellow"/>
          <w:lang w:eastAsia="en-US"/>
        </w:rPr>
        <w:fldChar w:fldCharType="end"/>
      </w:r>
      <w:r w:rsidRPr="00E97956">
        <w:rPr>
          <w:rFonts w:eastAsia="Arial" w:cs="Arial"/>
          <w:color w:val="000000"/>
          <w:szCs w:val="22"/>
          <w:lang w:eastAsia="en-US"/>
        </w:rPr>
        <w:t>.</w:t>
      </w:r>
    </w:p>
    <w:p w14:paraId="228ECD3E" w14:textId="77777777" w:rsidR="008E1F21" w:rsidRPr="00E97956" w:rsidRDefault="008E1F21" w:rsidP="00E97956">
      <w:pPr>
        <w:pStyle w:val="ListParagraph"/>
        <w:ind w:left="360"/>
        <w:rPr>
          <w:rFonts w:cs="Arial"/>
          <w:b/>
          <w:szCs w:val="22"/>
        </w:rPr>
      </w:pPr>
    </w:p>
    <w:p w14:paraId="05F835D7" w14:textId="26E1105B" w:rsidR="00D412BF" w:rsidRDefault="002147A4" w:rsidP="00E97956">
      <w:pPr>
        <w:pStyle w:val="ListParagraph"/>
        <w:numPr>
          <w:ilvl w:val="1"/>
          <w:numId w:val="2"/>
        </w:numPr>
        <w:rPr>
          <w:rFonts w:cs="Arial"/>
          <w:b/>
          <w:szCs w:val="22"/>
        </w:rPr>
      </w:pPr>
      <w:r w:rsidRPr="00E97956">
        <w:rPr>
          <w:rFonts w:cs="Arial"/>
          <w:b/>
          <w:szCs w:val="22"/>
        </w:rPr>
        <w:t>Trending of Complaints</w:t>
      </w:r>
    </w:p>
    <w:p w14:paraId="233D3D8A" w14:textId="77777777" w:rsidR="00E97956" w:rsidRPr="00E97956" w:rsidRDefault="00E97956" w:rsidP="00E97956">
      <w:pPr>
        <w:pStyle w:val="ListParagraph"/>
        <w:ind w:left="792"/>
        <w:rPr>
          <w:rFonts w:cs="Arial"/>
          <w:b/>
          <w:szCs w:val="22"/>
        </w:rPr>
      </w:pPr>
    </w:p>
    <w:p w14:paraId="1578AA8B" w14:textId="46365BB0" w:rsidR="0075029F" w:rsidRPr="00E97956" w:rsidRDefault="00D412BF" w:rsidP="00E97956">
      <w:pPr>
        <w:pStyle w:val="ListParagraph"/>
        <w:ind w:left="792"/>
        <w:rPr>
          <w:rFonts w:eastAsia="Arial" w:cs="Arial"/>
        </w:rPr>
      </w:pPr>
      <w:r w:rsidRPr="00E97956">
        <w:rPr>
          <w:rFonts w:eastAsia="Arial" w:cs="Arial"/>
        </w:rPr>
        <w:t xml:space="preserve">Information from </w:t>
      </w:r>
      <w:r w:rsidR="0006721F" w:rsidRPr="00E97956">
        <w:rPr>
          <w:rFonts w:eastAsia="Arial" w:cs="Arial"/>
        </w:rPr>
        <w:t>complaints</w:t>
      </w:r>
      <w:r w:rsidR="00BA513D" w:rsidRPr="00E97956">
        <w:rPr>
          <w:rFonts w:eastAsia="Arial" w:cs="Arial"/>
        </w:rPr>
        <w:t xml:space="preserve"> </w:t>
      </w:r>
      <w:r w:rsidRPr="00E97956">
        <w:rPr>
          <w:rFonts w:eastAsia="Arial" w:cs="Arial"/>
        </w:rPr>
        <w:t xml:space="preserve">shall be collected, trended, and reported in the Management Review Meeting per SOP-001, Quality Manual. If analysis reveals an adverse trend, the information shall be forwarded for possible action with the contract manufacturer per </w:t>
      </w:r>
      <w:r w:rsidRPr="00E97956">
        <w:fldChar w:fldCharType="begin"/>
      </w:r>
      <w:r w:rsidRPr="00E97956">
        <w:rPr>
          <w:rFonts w:eastAsia="Arial" w:cs="Arial"/>
          <w:color w:val="000000"/>
          <w:szCs w:val="22"/>
          <w:lang w:eastAsia="en-US"/>
        </w:rPr>
        <w:instrText xml:space="preserve"> REF CAPA_name \h </w:instrText>
      </w:r>
      <w:r w:rsidRPr="00E97956">
        <w:rPr>
          <w:rFonts w:eastAsia="Arial" w:cs="Arial"/>
          <w:color w:val="000000"/>
          <w:szCs w:val="22"/>
          <w:highlight w:val="yellow"/>
          <w:lang w:eastAsia="en-US"/>
        </w:rPr>
        <w:instrText xml:space="preserve"> \* MERGEFORMAT </w:instrText>
      </w:r>
      <w:r w:rsidRPr="00E97956">
        <w:rPr>
          <w:rFonts w:eastAsia="Arial" w:cs="Arial"/>
          <w:color w:val="000000"/>
          <w:szCs w:val="22"/>
          <w:highlight w:val="yellow"/>
          <w:lang w:eastAsia="en-US"/>
        </w:rPr>
        <w:fldChar w:fldCharType="separate"/>
      </w:r>
      <w:r w:rsidR="00163B28" w:rsidRPr="00163B28">
        <w:rPr>
          <w:rFonts w:eastAsia="Arial" w:cs="Arial"/>
        </w:rPr>
        <w:t>SOP-002, Purchasing and Supplier Controls</w:t>
      </w:r>
      <w:r w:rsidRPr="00E97956">
        <w:fldChar w:fldCharType="end"/>
      </w:r>
      <w:r w:rsidRPr="00E97956">
        <w:rPr>
          <w:rFonts w:eastAsia="Arial" w:cs="Arial"/>
        </w:rPr>
        <w:t>.</w:t>
      </w:r>
    </w:p>
    <w:p w14:paraId="5BB7B569" w14:textId="77777777" w:rsidR="00B845D1" w:rsidRPr="00E97956" w:rsidRDefault="00B845D1" w:rsidP="00E97956">
      <w:pPr>
        <w:pStyle w:val="ListParagraph"/>
        <w:ind w:left="792"/>
        <w:rPr>
          <w:rFonts w:eastAsia="Arial" w:cs="Arial"/>
        </w:rPr>
      </w:pPr>
    </w:p>
    <w:p w14:paraId="1C6EA7D1" w14:textId="7F6E9FBC" w:rsidR="008777FC" w:rsidRDefault="0095743D" w:rsidP="00E97956">
      <w:pPr>
        <w:pStyle w:val="ListParagraph"/>
        <w:numPr>
          <w:ilvl w:val="1"/>
          <w:numId w:val="2"/>
        </w:numPr>
        <w:rPr>
          <w:rFonts w:eastAsia="Arial" w:cs="Arial"/>
          <w:b/>
          <w:bCs/>
        </w:rPr>
      </w:pPr>
      <w:bookmarkStart w:id="6" w:name="_Ref512231387"/>
      <w:r w:rsidRPr="00E97956">
        <w:rPr>
          <w:rFonts w:eastAsia="Arial" w:cs="Arial"/>
          <w:b/>
          <w:bCs/>
        </w:rPr>
        <w:t xml:space="preserve">Process for </w:t>
      </w:r>
      <w:r w:rsidR="0075029F" w:rsidRPr="00E97956">
        <w:rPr>
          <w:rFonts w:eastAsia="Arial" w:cs="Arial"/>
          <w:b/>
          <w:bCs/>
        </w:rPr>
        <w:t xml:space="preserve">FDA </w:t>
      </w:r>
      <w:r w:rsidR="008777FC" w:rsidRPr="00E97956">
        <w:rPr>
          <w:rFonts w:eastAsia="Arial" w:cs="Arial"/>
          <w:b/>
          <w:bCs/>
        </w:rPr>
        <w:t>Reporting of Complaints</w:t>
      </w:r>
      <w:bookmarkEnd w:id="6"/>
    </w:p>
    <w:p w14:paraId="51F2EFE0" w14:textId="77777777" w:rsidR="00E97956" w:rsidRPr="00E97956" w:rsidRDefault="00E97956" w:rsidP="00E97956">
      <w:pPr>
        <w:pStyle w:val="ListParagraph"/>
        <w:ind w:left="792"/>
        <w:rPr>
          <w:rFonts w:eastAsia="Arial" w:cs="Arial"/>
          <w:b/>
          <w:bCs/>
        </w:rPr>
      </w:pPr>
    </w:p>
    <w:p w14:paraId="2459D62D" w14:textId="6FE93286" w:rsidR="008777FC" w:rsidRPr="00E97956" w:rsidRDefault="009640D7" w:rsidP="00E97956">
      <w:pPr>
        <w:pStyle w:val="ListParagraph"/>
        <w:numPr>
          <w:ilvl w:val="2"/>
          <w:numId w:val="2"/>
        </w:numPr>
        <w:ind w:left="1418" w:hanging="709"/>
        <w:rPr>
          <w:rFonts w:cs="Arial"/>
          <w:szCs w:val="22"/>
        </w:rPr>
      </w:pPr>
      <w:r w:rsidRPr="00E97956">
        <w:rPr>
          <w:rFonts w:eastAsiaTheme="minorEastAsia" w:cs="Arial"/>
          <w:szCs w:val="22"/>
          <w:u w:val="single"/>
        </w:rPr>
        <w:t>Reportable Events:</w:t>
      </w:r>
      <w:r w:rsidRPr="00E97956">
        <w:rPr>
          <w:rFonts w:eastAsiaTheme="minorEastAsia" w:cs="Arial"/>
          <w:szCs w:val="22"/>
        </w:rPr>
        <w:t xml:space="preserve"> </w:t>
      </w:r>
      <w:r w:rsidR="008777FC" w:rsidRPr="00E97956">
        <w:rPr>
          <w:rFonts w:eastAsiaTheme="minorEastAsia" w:cs="Arial"/>
          <w:szCs w:val="22"/>
        </w:rPr>
        <w:t xml:space="preserve">If the event is determined to be reportable, </w:t>
      </w:r>
      <w:r w:rsidR="009331B1" w:rsidRPr="00E97956">
        <w:rPr>
          <w:rFonts w:eastAsiaTheme="minorEastAsia" w:cs="Arial"/>
          <w:szCs w:val="22"/>
        </w:rPr>
        <w:t>GT Medical</w:t>
      </w:r>
      <w:r w:rsidR="00FE7598" w:rsidRPr="00E97956">
        <w:rPr>
          <w:rFonts w:eastAsiaTheme="minorEastAsia" w:cs="Arial"/>
          <w:szCs w:val="22"/>
        </w:rPr>
        <w:t xml:space="preserve"> will inform </w:t>
      </w:r>
      <w:r w:rsidR="0022357B" w:rsidRPr="00E97956">
        <w:rPr>
          <w:rFonts w:eastAsiaTheme="minorEastAsia" w:cs="Arial"/>
          <w:szCs w:val="22"/>
        </w:rPr>
        <w:t>the RAQA consultant</w:t>
      </w:r>
      <w:r w:rsidR="00FE7598" w:rsidRPr="00E97956">
        <w:rPr>
          <w:rFonts w:eastAsiaTheme="minorEastAsia" w:cs="Arial"/>
          <w:szCs w:val="22"/>
        </w:rPr>
        <w:t xml:space="preserve"> and the </w:t>
      </w:r>
      <w:proofErr w:type="spellStart"/>
      <w:r w:rsidR="0022357B" w:rsidRPr="00E97956">
        <w:rPr>
          <w:rFonts w:eastAsiaTheme="minorEastAsia" w:cs="Arial"/>
          <w:szCs w:val="22"/>
        </w:rPr>
        <w:t>the</w:t>
      </w:r>
      <w:proofErr w:type="spellEnd"/>
      <w:r w:rsidR="0022357B" w:rsidRPr="00E97956">
        <w:rPr>
          <w:rFonts w:eastAsiaTheme="minorEastAsia" w:cs="Arial"/>
          <w:szCs w:val="22"/>
        </w:rPr>
        <w:t xml:space="preserve"> RAQA consultant</w:t>
      </w:r>
      <w:r w:rsidR="00FE7598" w:rsidRPr="00E97956">
        <w:rPr>
          <w:rFonts w:eastAsiaTheme="minorEastAsia" w:cs="Arial"/>
          <w:szCs w:val="22"/>
        </w:rPr>
        <w:t xml:space="preserve"> will take th</w:t>
      </w:r>
      <w:r w:rsidR="008777FC" w:rsidRPr="00E97956">
        <w:rPr>
          <w:rFonts w:eastAsiaTheme="minorEastAsia" w:cs="Arial"/>
          <w:szCs w:val="22"/>
        </w:rPr>
        <w:t>e following steps:</w:t>
      </w:r>
    </w:p>
    <w:p w14:paraId="604429D3" w14:textId="77777777" w:rsidR="00E97956" w:rsidRPr="00E97956" w:rsidRDefault="00E97956" w:rsidP="00E97956">
      <w:pPr>
        <w:pStyle w:val="ListParagraph"/>
        <w:ind w:left="1418"/>
        <w:rPr>
          <w:rFonts w:cs="Arial"/>
          <w:szCs w:val="22"/>
        </w:rPr>
      </w:pPr>
    </w:p>
    <w:p w14:paraId="5D301050" w14:textId="799AF640" w:rsidR="008777FC" w:rsidRPr="00E97956" w:rsidRDefault="008777FC" w:rsidP="00E97956">
      <w:pPr>
        <w:pStyle w:val="ListParagraph"/>
        <w:numPr>
          <w:ilvl w:val="3"/>
          <w:numId w:val="2"/>
        </w:numPr>
        <w:ind w:left="2127" w:hanging="1047"/>
        <w:rPr>
          <w:rFonts w:cs="Arial"/>
          <w:szCs w:val="22"/>
        </w:rPr>
      </w:pPr>
      <w:r w:rsidRPr="00E97956">
        <w:rPr>
          <w:rFonts w:cs="Arial"/>
          <w:szCs w:val="22"/>
        </w:rPr>
        <w:t>If the event requires reporting to FDA,</w:t>
      </w:r>
      <w:r w:rsidR="00FE7598" w:rsidRPr="00E97956">
        <w:rPr>
          <w:rFonts w:cs="Arial"/>
          <w:szCs w:val="22"/>
        </w:rPr>
        <w:t xml:space="preserve"> Medical Device Reports will be completed and submit</w:t>
      </w:r>
      <w:r w:rsidRPr="00E97956">
        <w:rPr>
          <w:rFonts w:cs="Arial"/>
          <w:szCs w:val="22"/>
        </w:rPr>
        <w:t xml:space="preserve"> electronically using the FDA’s </w:t>
      </w:r>
      <w:proofErr w:type="spellStart"/>
      <w:r w:rsidRPr="00E97956">
        <w:rPr>
          <w:rFonts w:cs="Arial"/>
          <w:szCs w:val="22"/>
        </w:rPr>
        <w:t>eSubmitter</w:t>
      </w:r>
      <w:proofErr w:type="spellEnd"/>
      <w:r w:rsidRPr="00E97956">
        <w:rPr>
          <w:rFonts w:cs="Arial"/>
          <w:szCs w:val="22"/>
        </w:rPr>
        <w:t xml:space="preserve"> tool and the Electronic Submissions Gateway (ESG).</w:t>
      </w:r>
      <w:r w:rsidR="009640D7" w:rsidRPr="00E97956">
        <w:rPr>
          <w:rFonts w:cs="Arial"/>
          <w:szCs w:val="22"/>
        </w:rPr>
        <w:t xml:space="preserve"> </w:t>
      </w:r>
    </w:p>
    <w:p w14:paraId="3AA81087" w14:textId="14F70A28" w:rsidR="008777FC" w:rsidRPr="00E97956" w:rsidRDefault="008777FC" w:rsidP="00E97956">
      <w:pPr>
        <w:pStyle w:val="ListParagraph"/>
        <w:numPr>
          <w:ilvl w:val="0"/>
          <w:numId w:val="15"/>
        </w:numPr>
        <w:rPr>
          <w:rFonts w:cs="Arial"/>
          <w:szCs w:val="22"/>
        </w:rPr>
      </w:pPr>
      <w:r w:rsidRPr="00E97956">
        <w:rPr>
          <w:rFonts w:cs="Arial"/>
          <w:szCs w:val="22"/>
        </w:rPr>
        <w:t xml:space="preserve">The </w:t>
      </w:r>
      <w:proofErr w:type="spellStart"/>
      <w:r w:rsidRPr="00E97956">
        <w:rPr>
          <w:rFonts w:cs="Arial"/>
          <w:szCs w:val="22"/>
          <w:u w:val="single"/>
        </w:rPr>
        <w:t>eSubmitter</w:t>
      </w:r>
      <w:proofErr w:type="spellEnd"/>
      <w:r w:rsidRPr="00E97956">
        <w:rPr>
          <w:rFonts w:cs="Arial"/>
          <w:szCs w:val="22"/>
        </w:rPr>
        <w:t xml:space="preserve"> is a tool that enables entities to prepare and </w:t>
      </w:r>
      <w:proofErr w:type="spellStart"/>
      <w:r w:rsidRPr="00E97956">
        <w:rPr>
          <w:rFonts w:cs="Arial"/>
          <w:szCs w:val="22"/>
        </w:rPr>
        <w:t>completeMDR</w:t>
      </w:r>
      <w:proofErr w:type="spellEnd"/>
      <w:r w:rsidRPr="00E97956">
        <w:rPr>
          <w:rFonts w:cs="Arial"/>
          <w:szCs w:val="22"/>
        </w:rPr>
        <w:t xml:space="preserve"> information in an electronic format using the FDA MedWatch Form 3500A.</w:t>
      </w:r>
      <w:r w:rsidRPr="00E97956">
        <w:t xml:space="preserve"> </w:t>
      </w:r>
    </w:p>
    <w:p w14:paraId="71BB9A97" w14:textId="32057A44" w:rsidR="008777FC" w:rsidRDefault="008777FC" w:rsidP="00E97956">
      <w:pPr>
        <w:pStyle w:val="ListParagraph"/>
        <w:numPr>
          <w:ilvl w:val="0"/>
          <w:numId w:val="15"/>
        </w:numPr>
        <w:rPr>
          <w:rFonts w:cs="Arial"/>
          <w:szCs w:val="22"/>
        </w:rPr>
      </w:pPr>
      <w:r w:rsidRPr="00E97956">
        <w:rPr>
          <w:rFonts w:cs="Arial"/>
          <w:szCs w:val="22"/>
        </w:rPr>
        <w:t xml:space="preserve">The </w:t>
      </w:r>
      <w:r w:rsidRPr="00E97956">
        <w:rPr>
          <w:rFonts w:cs="Arial"/>
          <w:szCs w:val="22"/>
          <w:u w:val="single"/>
        </w:rPr>
        <w:t>ESG</w:t>
      </w:r>
      <w:r w:rsidRPr="00E97956">
        <w:rPr>
          <w:rFonts w:cs="Arial"/>
          <w:szCs w:val="22"/>
        </w:rPr>
        <w:t xml:space="preserve"> is an FDA-wide solution for accepting electronic regulatory submissions such as electronic MDRs (</w:t>
      </w:r>
      <w:proofErr w:type="spellStart"/>
      <w:r w:rsidRPr="00E97956">
        <w:rPr>
          <w:rFonts w:cs="Arial"/>
          <w:szCs w:val="22"/>
        </w:rPr>
        <w:t>eMDRs</w:t>
      </w:r>
      <w:proofErr w:type="spellEnd"/>
      <w:r w:rsidRPr="00E97956">
        <w:rPr>
          <w:rFonts w:cs="Arial"/>
          <w:szCs w:val="22"/>
        </w:rPr>
        <w:t xml:space="preserve">). Once electronic MDRs are prepared and completed using the </w:t>
      </w:r>
      <w:proofErr w:type="spellStart"/>
      <w:r w:rsidRPr="00E97956">
        <w:rPr>
          <w:rFonts w:cs="Arial"/>
          <w:szCs w:val="22"/>
        </w:rPr>
        <w:t>eSubmitter</w:t>
      </w:r>
      <w:proofErr w:type="spellEnd"/>
      <w:r w:rsidRPr="00E97956">
        <w:rPr>
          <w:rFonts w:cs="Arial"/>
          <w:szCs w:val="22"/>
        </w:rPr>
        <w:t xml:space="preserve"> tool, these are submitted </w:t>
      </w:r>
      <w:r w:rsidR="00B845D1" w:rsidRPr="00E97956">
        <w:rPr>
          <w:rFonts w:cs="Arial"/>
          <w:szCs w:val="22"/>
        </w:rPr>
        <w:t>to the FDA’s CDRH using the ESG</w:t>
      </w:r>
    </w:p>
    <w:p w14:paraId="17304AC9" w14:textId="77777777" w:rsidR="00E97956" w:rsidRPr="00E97956" w:rsidRDefault="00E97956" w:rsidP="00E97956">
      <w:pPr>
        <w:pStyle w:val="ListParagraph"/>
        <w:ind w:left="2847"/>
        <w:rPr>
          <w:rFonts w:cs="Arial"/>
          <w:szCs w:val="22"/>
        </w:rPr>
      </w:pPr>
    </w:p>
    <w:p w14:paraId="70388268" w14:textId="32B1D0D2" w:rsidR="008777FC" w:rsidRDefault="008777FC" w:rsidP="00E97956">
      <w:pPr>
        <w:pStyle w:val="ListParagraph"/>
        <w:numPr>
          <w:ilvl w:val="3"/>
          <w:numId w:val="2"/>
        </w:numPr>
        <w:ind w:left="2127" w:hanging="1047"/>
        <w:rPr>
          <w:rFonts w:cs="Arial"/>
          <w:szCs w:val="22"/>
        </w:rPr>
      </w:pPr>
      <w:r w:rsidRPr="00E97956">
        <w:rPr>
          <w:rFonts w:cs="Arial"/>
          <w:szCs w:val="22"/>
        </w:rPr>
        <w:t xml:space="preserve">To prepare and complete a new </w:t>
      </w:r>
      <w:proofErr w:type="spellStart"/>
      <w:r w:rsidRPr="00E97956">
        <w:rPr>
          <w:rFonts w:cs="Arial"/>
          <w:szCs w:val="22"/>
        </w:rPr>
        <w:t>eMDR</w:t>
      </w:r>
      <w:proofErr w:type="spellEnd"/>
      <w:r w:rsidRPr="00E97956">
        <w:rPr>
          <w:rFonts w:cs="Arial"/>
          <w:szCs w:val="22"/>
        </w:rPr>
        <w:t xml:space="preserve">, open the </w:t>
      </w:r>
      <w:proofErr w:type="spellStart"/>
      <w:r w:rsidRPr="00E97956">
        <w:rPr>
          <w:rFonts w:cs="Arial"/>
          <w:szCs w:val="22"/>
        </w:rPr>
        <w:t>eSubmitter</w:t>
      </w:r>
      <w:proofErr w:type="spellEnd"/>
      <w:r w:rsidRPr="00E97956">
        <w:rPr>
          <w:rFonts w:cs="Arial"/>
          <w:szCs w:val="22"/>
        </w:rPr>
        <w:t xml:space="preserve"> tool, click on “Create New Submission” and then select the “CDRH: MedWatch Form 3500A (OMB No. 0910-0291)” submission type.</w:t>
      </w:r>
    </w:p>
    <w:p w14:paraId="6AA4CCEC" w14:textId="77777777" w:rsidR="00E97956" w:rsidRPr="00E97956" w:rsidRDefault="00E97956" w:rsidP="00E97956">
      <w:pPr>
        <w:pStyle w:val="ListParagraph"/>
        <w:ind w:left="2127"/>
        <w:rPr>
          <w:rFonts w:cs="Arial"/>
          <w:szCs w:val="22"/>
        </w:rPr>
      </w:pPr>
    </w:p>
    <w:p w14:paraId="05B46098" w14:textId="28D9D492" w:rsidR="008777FC" w:rsidRPr="00E97956" w:rsidRDefault="008777FC" w:rsidP="00E97956">
      <w:pPr>
        <w:pStyle w:val="ListParagraph"/>
        <w:numPr>
          <w:ilvl w:val="3"/>
          <w:numId w:val="2"/>
        </w:numPr>
        <w:ind w:left="2127" w:hanging="1047"/>
        <w:rPr>
          <w:rFonts w:cs="Arial"/>
          <w:szCs w:val="22"/>
        </w:rPr>
      </w:pPr>
      <w:r w:rsidRPr="00E97956">
        <w:rPr>
          <w:rFonts w:cs="Arial"/>
          <w:szCs w:val="22"/>
        </w:rPr>
        <w:t>Enter the followi</w:t>
      </w:r>
      <w:r w:rsidR="00B845D1" w:rsidRPr="00E97956">
        <w:rPr>
          <w:rFonts w:cs="Arial"/>
          <w:szCs w:val="22"/>
        </w:rPr>
        <w:t xml:space="preserve">ng details relating to the </w:t>
      </w:r>
      <w:proofErr w:type="spellStart"/>
      <w:r w:rsidR="00B845D1" w:rsidRPr="00E97956">
        <w:rPr>
          <w:rFonts w:cs="Arial"/>
          <w:szCs w:val="22"/>
        </w:rPr>
        <w:t>eMDR</w:t>
      </w:r>
      <w:proofErr w:type="spellEnd"/>
      <w:r w:rsidR="00B845D1" w:rsidRPr="00E97956">
        <w:rPr>
          <w:rFonts w:cs="Arial"/>
          <w:szCs w:val="22"/>
        </w:rPr>
        <w:t>.</w:t>
      </w:r>
    </w:p>
    <w:p w14:paraId="7EA3A77B" w14:textId="0F0FEA5B" w:rsidR="008777FC" w:rsidRPr="00E97956" w:rsidRDefault="008777FC" w:rsidP="00E97956">
      <w:pPr>
        <w:pStyle w:val="ListParagraph"/>
        <w:numPr>
          <w:ilvl w:val="0"/>
          <w:numId w:val="16"/>
        </w:numPr>
        <w:rPr>
          <w:rFonts w:cs="Arial"/>
          <w:szCs w:val="22"/>
        </w:rPr>
      </w:pPr>
      <w:r w:rsidRPr="00E97956">
        <w:rPr>
          <w:rFonts w:cs="Arial"/>
          <w:szCs w:val="22"/>
          <w:u w:val="single"/>
        </w:rPr>
        <w:t>Descriptive Name:</w:t>
      </w:r>
      <w:r w:rsidRPr="00E97956">
        <w:rPr>
          <w:rFonts w:cs="Arial"/>
          <w:szCs w:val="22"/>
        </w:rPr>
        <w:t xml:space="preserve"> The descriptive name is for internal use and is used for distinguishing one </w:t>
      </w:r>
      <w:proofErr w:type="spellStart"/>
      <w:r w:rsidRPr="00E97956">
        <w:rPr>
          <w:rFonts w:cs="Arial"/>
          <w:szCs w:val="22"/>
        </w:rPr>
        <w:t>eMDR</w:t>
      </w:r>
      <w:proofErr w:type="spellEnd"/>
      <w:r w:rsidRPr="00E97956">
        <w:rPr>
          <w:rFonts w:cs="Arial"/>
          <w:szCs w:val="22"/>
        </w:rPr>
        <w:t xml:space="preserve"> from another. This name shall be the same as the Manufacturer (MFR) Report Number described below.</w:t>
      </w:r>
    </w:p>
    <w:p w14:paraId="7AF8DCB9" w14:textId="51E96F02" w:rsidR="008777FC" w:rsidRPr="00E97956" w:rsidRDefault="008777FC" w:rsidP="00E97956">
      <w:pPr>
        <w:pStyle w:val="ListParagraph"/>
        <w:numPr>
          <w:ilvl w:val="0"/>
          <w:numId w:val="16"/>
        </w:numPr>
        <w:rPr>
          <w:rFonts w:cs="Arial"/>
          <w:szCs w:val="22"/>
        </w:rPr>
      </w:pPr>
      <w:r w:rsidRPr="00E97956">
        <w:rPr>
          <w:rFonts w:cs="Arial"/>
          <w:szCs w:val="22"/>
          <w:u w:val="single"/>
        </w:rPr>
        <w:t>File Name:</w:t>
      </w:r>
      <w:r w:rsidRPr="00E97956">
        <w:rPr>
          <w:rFonts w:cs="Arial"/>
          <w:szCs w:val="22"/>
        </w:rPr>
        <w:t xml:space="preserve"> The file name represents the name used to store the </w:t>
      </w:r>
      <w:proofErr w:type="spellStart"/>
      <w:r w:rsidRPr="00E97956">
        <w:rPr>
          <w:rFonts w:cs="Arial"/>
          <w:szCs w:val="22"/>
        </w:rPr>
        <w:t>eMDR</w:t>
      </w:r>
      <w:proofErr w:type="spellEnd"/>
      <w:r w:rsidRPr="00E97956">
        <w:rPr>
          <w:rFonts w:cs="Arial"/>
          <w:szCs w:val="22"/>
        </w:rPr>
        <w:t xml:space="preserve"> file within the file system and is also used for distinguishing one </w:t>
      </w:r>
      <w:proofErr w:type="spellStart"/>
      <w:r w:rsidRPr="00E97956">
        <w:rPr>
          <w:rFonts w:cs="Arial"/>
          <w:szCs w:val="22"/>
        </w:rPr>
        <w:t>eMDR</w:t>
      </w:r>
      <w:proofErr w:type="spellEnd"/>
      <w:r w:rsidRPr="00E97956">
        <w:rPr>
          <w:rFonts w:cs="Arial"/>
          <w:szCs w:val="22"/>
        </w:rPr>
        <w:t xml:space="preserve"> from another. The file name shall also be the same as the MFR Report Number described below. </w:t>
      </w:r>
    </w:p>
    <w:p w14:paraId="70FA95A2" w14:textId="44759501" w:rsidR="008777FC" w:rsidRPr="00E97956" w:rsidRDefault="008777FC" w:rsidP="00E97956">
      <w:pPr>
        <w:pStyle w:val="ListParagraph"/>
        <w:numPr>
          <w:ilvl w:val="0"/>
          <w:numId w:val="16"/>
        </w:numPr>
        <w:rPr>
          <w:rFonts w:cs="Arial"/>
          <w:szCs w:val="22"/>
        </w:rPr>
      </w:pPr>
      <w:r w:rsidRPr="00E97956">
        <w:rPr>
          <w:rFonts w:cs="Arial"/>
          <w:szCs w:val="22"/>
          <w:u w:val="single"/>
        </w:rPr>
        <w:t>Additional Comments:</w:t>
      </w:r>
      <w:r w:rsidRPr="00E97956">
        <w:rPr>
          <w:rFonts w:cs="Arial"/>
          <w:szCs w:val="22"/>
        </w:rPr>
        <w:t xml:space="preserve"> Enter comments that further describe the </w:t>
      </w:r>
      <w:proofErr w:type="spellStart"/>
      <w:r w:rsidRPr="00E97956">
        <w:rPr>
          <w:rFonts w:cs="Arial"/>
          <w:szCs w:val="22"/>
        </w:rPr>
        <w:t>eMDR</w:t>
      </w:r>
      <w:proofErr w:type="spellEnd"/>
      <w:r w:rsidRPr="00E97956">
        <w:rPr>
          <w:rFonts w:cs="Arial"/>
          <w:szCs w:val="22"/>
        </w:rPr>
        <w:t xml:space="preserve"> beyond the descriptive name. The comments are optional and are intended for internal use.</w:t>
      </w:r>
    </w:p>
    <w:p w14:paraId="584B4F8D" w14:textId="144193FA" w:rsidR="008777FC" w:rsidRPr="00E97956" w:rsidRDefault="008777FC" w:rsidP="00E97956">
      <w:pPr>
        <w:pStyle w:val="ListParagraph"/>
        <w:numPr>
          <w:ilvl w:val="0"/>
          <w:numId w:val="16"/>
        </w:numPr>
        <w:rPr>
          <w:rFonts w:cs="Arial"/>
          <w:szCs w:val="22"/>
        </w:rPr>
      </w:pPr>
      <w:r w:rsidRPr="00E97956">
        <w:rPr>
          <w:rFonts w:cs="Arial"/>
          <w:szCs w:val="22"/>
          <w:u w:val="single"/>
        </w:rPr>
        <w:t>Manufacturer (MFR) Report Number:</w:t>
      </w:r>
      <w:r w:rsidRPr="00E97956">
        <w:rPr>
          <w:rFonts w:cs="Arial"/>
          <w:szCs w:val="22"/>
        </w:rPr>
        <w:t xml:space="preserve"> This is a unique identifier used for each individual </w:t>
      </w:r>
      <w:proofErr w:type="spellStart"/>
      <w:r w:rsidRPr="00E97956">
        <w:rPr>
          <w:rFonts w:cs="Arial"/>
          <w:szCs w:val="22"/>
        </w:rPr>
        <w:t>eMDR</w:t>
      </w:r>
      <w:proofErr w:type="spellEnd"/>
      <w:r w:rsidRPr="00E97956">
        <w:rPr>
          <w:rFonts w:cs="Arial"/>
          <w:szCs w:val="22"/>
        </w:rPr>
        <w:t xml:space="preserve">. The </w:t>
      </w:r>
      <w:proofErr w:type="spellStart"/>
      <w:r w:rsidRPr="00E97956">
        <w:rPr>
          <w:rFonts w:cs="Arial"/>
          <w:szCs w:val="22"/>
        </w:rPr>
        <w:t>eMDR</w:t>
      </w:r>
      <w:proofErr w:type="spellEnd"/>
      <w:r w:rsidRPr="00E97956">
        <w:rPr>
          <w:rFonts w:cs="Arial"/>
          <w:szCs w:val="22"/>
        </w:rPr>
        <w:t xml:space="preserve"> shall consist of the </w:t>
      </w:r>
      <w:r w:rsidR="00BA513D" w:rsidRPr="00E97956">
        <w:rPr>
          <w:rFonts w:cs="Arial"/>
          <w:szCs w:val="22"/>
        </w:rPr>
        <w:t>10-digit</w:t>
      </w:r>
      <w:r w:rsidRPr="00E97956">
        <w:rPr>
          <w:rFonts w:cs="Arial"/>
          <w:szCs w:val="22"/>
        </w:rPr>
        <w:t xml:space="preserve"> facility registration number, followed by a </w:t>
      </w:r>
      <w:r w:rsidR="007D2A69" w:rsidRPr="00E97956">
        <w:rPr>
          <w:rFonts w:cs="Arial"/>
          <w:szCs w:val="22"/>
        </w:rPr>
        <w:t>4-digit year, followed by a 5-</w:t>
      </w:r>
      <w:r w:rsidRPr="00E97956">
        <w:rPr>
          <w:rFonts w:cs="Arial"/>
          <w:szCs w:val="22"/>
        </w:rPr>
        <w:t>digit sequence number.</w:t>
      </w:r>
    </w:p>
    <w:p w14:paraId="615C539E" w14:textId="4F566242" w:rsidR="008777FC" w:rsidRDefault="008777FC" w:rsidP="00E97956">
      <w:pPr>
        <w:pStyle w:val="ListParagraph"/>
        <w:numPr>
          <w:ilvl w:val="1"/>
          <w:numId w:val="16"/>
        </w:numPr>
        <w:rPr>
          <w:rFonts w:cs="Arial"/>
          <w:szCs w:val="22"/>
        </w:rPr>
      </w:pPr>
      <w:r w:rsidRPr="00E97956">
        <w:rPr>
          <w:rFonts w:cs="Arial"/>
          <w:szCs w:val="22"/>
        </w:rPr>
        <w:t xml:space="preserve">Considering the following example for </w:t>
      </w:r>
      <w:r w:rsidR="009331B1" w:rsidRPr="00E97956">
        <w:rPr>
          <w:rFonts w:cs="Arial"/>
          <w:szCs w:val="22"/>
        </w:rPr>
        <w:t>GT Medical</w:t>
      </w:r>
      <w:r w:rsidRPr="00E97956">
        <w:rPr>
          <w:rFonts w:cs="Arial"/>
          <w:szCs w:val="22"/>
        </w:rPr>
        <w:t xml:space="preserve">, the file names for the first two </w:t>
      </w:r>
      <w:proofErr w:type="spellStart"/>
      <w:r w:rsidRPr="00E97956">
        <w:rPr>
          <w:rFonts w:cs="Arial"/>
          <w:szCs w:val="22"/>
        </w:rPr>
        <w:t>eMDRs</w:t>
      </w:r>
      <w:proofErr w:type="spellEnd"/>
      <w:r w:rsidRPr="00E97956">
        <w:rPr>
          <w:rFonts w:cs="Arial"/>
          <w:szCs w:val="22"/>
        </w:rPr>
        <w:t xml:space="preserve"> submitted in year 201</w:t>
      </w:r>
      <w:r w:rsidR="00BA513D" w:rsidRPr="00E97956">
        <w:rPr>
          <w:rFonts w:cs="Arial"/>
          <w:szCs w:val="22"/>
        </w:rPr>
        <w:t>7</w:t>
      </w:r>
      <w:r w:rsidRPr="00E97956">
        <w:rPr>
          <w:rFonts w:cs="Arial"/>
          <w:szCs w:val="22"/>
        </w:rPr>
        <w:t xml:space="preserve"> would be XXXXXXXXXX-201</w:t>
      </w:r>
      <w:r w:rsidR="00BA513D" w:rsidRPr="00E97956">
        <w:rPr>
          <w:rFonts w:cs="Arial"/>
          <w:szCs w:val="22"/>
        </w:rPr>
        <w:t>7</w:t>
      </w:r>
      <w:r w:rsidRPr="00E97956">
        <w:rPr>
          <w:rFonts w:cs="Arial"/>
          <w:szCs w:val="22"/>
        </w:rPr>
        <w:t>-00001 and XXXXXXXXXX-201</w:t>
      </w:r>
      <w:r w:rsidR="00BA513D" w:rsidRPr="00E97956">
        <w:rPr>
          <w:rFonts w:cs="Arial"/>
          <w:szCs w:val="22"/>
        </w:rPr>
        <w:t>7</w:t>
      </w:r>
      <w:r w:rsidRPr="00E97956">
        <w:rPr>
          <w:rFonts w:cs="Arial"/>
          <w:szCs w:val="22"/>
        </w:rPr>
        <w:t>-00002.</w:t>
      </w:r>
    </w:p>
    <w:p w14:paraId="400466BA" w14:textId="77777777" w:rsidR="00E97956" w:rsidRPr="00E97956" w:rsidRDefault="00E97956" w:rsidP="00E97956">
      <w:pPr>
        <w:pStyle w:val="ListParagraph"/>
        <w:ind w:left="3567"/>
        <w:rPr>
          <w:rFonts w:cs="Arial"/>
          <w:szCs w:val="22"/>
        </w:rPr>
      </w:pPr>
    </w:p>
    <w:p w14:paraId="6E0ECA77" w14:textId="03E5C4DE" w:rsidR="008777FC" w:rsidRDefault="008777FC" w:rsidP="00E97956">
      <w:pPr>
        <w:pStyle w:val="ListParagraph"/>
        <w:numPr>
          <w:ilvl w:val="3"/>
          <w:numId w:val="2"/>
        </w:numPr>
        <w:ind w:left="2127" w:hanging="1047"/>
        <w:rPr>
          <w:rFonts w:cs="Arial"/>
          <w:szCs w:val="22"/>
        </w:rPr>
      </w:pPr>
      <w:r w:rsidRPr="00E97956">
        <w:rPr>
          <w:rFonts w:cs="Arial"/>
          <w:szCs w:val="22"/>
        </w:rPr>
        <w:t xml:space="preserve">Complete FDA Form 3500A following the instructions available in the following website: </w:t>
      </w:r>
      <w:hyperlink r:id="rId8" w:history="1">
        <w:r w:rsidRPr="00E97956">
          <w:rPr>
            <w:rStyle w:val="Hyperlink"/>
            <w:rFonts w:cs="Arial"/>
            <w:szCs w:val="22"/>
          </w:rPr>
          <w:t>http://www.fda.gov/downloads/AboutFDA/ReportsManualsForms/Forms/UCM295636.pdf</w:t>
        </w:r>
      </w:hyperlink>
      <w:r w:rsidRPr="00E97956">
        <w:rPr>
          <w:rFonts w:cs="Arial"/>
          <w:szCs w:val="22"/>
        </w:rPr>
        <w:t xml:space="preserve"> </w:t>
      </w:r>
    </w:p>
    <w:p w14:paraId="20BE1D37" w14:textId="77777777" w:rsidR="00E97956" w:rsidRPr="00E97956" w:rsidRDefault="00E97956" w:rsidP="00E97956">
      <w:pPr>
        <w:pStyle w:val="ListParagraph"/>
        <w:ind w:left="2127"/>
        <w:rPr>
          <w:rFonts w:cs="Arial"/>
          <w:szCs w:val="22"/>
        </w:rPr>
      </w:pPr>
    </w:p>
    <w:p w14:paraId="0F801F2F" w14:textId="38739309" w:rsidR="008777FC" w:rsidRDefault="008777FC" w:rsidP="00E97956">
      <w:pPr>
        <w:pStyle w:val="ListParagraph"/>
        <w:numPr>
          <w:ilvl w:val="3"/>
          <w:numId w:val="2"/>
        </w:numPr>
        <w:ind w:left="2127" w:hanging="993"/>
        <w:rPr>
          <w:rFonts w:cs="Arial"/>
          <w:szCs w:val="22"/>
        </w:rPr>
      </w:pPr>
      <w:r w:rsidRPr="00E97956">
        <w:rPr>
          <w:rFonts w:cs="Arial"/>
          <w:szCs w:val="22"/>
        </w:rPr>
        <w:t>Attach or refer to any supporting files or legal disclaimers as required.</w:t>
      </w:r>
    </w:p>
    <w:p w14:paraId="44DC81C2" w14:textId="77777777" w:rsidR="00E97956" w:rsidRPr="00E97956" w:rsidRDefault="00E97956" w:rsidP="00E97956">
      <w:pPr>
        <w:rPr>
          <w:rFonts w:cs="Arial"/>
          <w:szCs w:val="22"/>
        </w:rPr>
      </w:pPr>
    </w:p>
    <w:p w14:paraId="43BDE73B" w14:textId="5C8A5915" w:rsidR="008777FC" w:rsidRDefault="008777FC" w:rsidP="00E97956">
      <w:pPr>
        <w:pStyle w:val="ListParagraph"/>
        <w:numPr>
          <w:ilvl w:val="3"/>
          <w:numId w:val="2"/>
        </w:numPr>
        <w:ind w:left="2127" w:hanging="993"/>
        <w:rPr>
          <w:rFonts w:cs="Arial"/>
          <w:szCs w:val="22"/>
        </w:rPr>
      </w:pPr>
      <w:r w:rsidRPr="00E97956">
        <w:rPr>
          <w:rFonts w:cs="Arial"/>
          <w:szCs w:val="22"/>
        </w:rPr>
        <w:t xml:space="preserve">Once FDA Form 3500A is complete with all the required fields, click on “Package Files” on the top toolbar of the </w:t>
      </w:r>
      <w:proofErr w:type="spellStart"/>
      <w:r w:rsidRPr="00E97956">
        <w:rPr>
          <w:rFonts w:cs="Arial"/>
          <w:szCs w:val="22"/>
        </w:rPr>
        <w:t>eSubmitter</w:t>
      </w:r>
      <w:proofErr w:type="spellEnd"/>
      <w:r w:rsidRPr="00E97956">
        <w:rPr>
          <w:rFonts w:cs="Arial"/>
          <w:szCs w:val="22"/>
        </w:rPr>
        <w:t xml:space="preserve"> tool.</w:t>
      </w:r>
    </w:p>
    <w:p w14:paraId="42885345" w14:textId="77777777" w:rsidR="00E97956" w:rsidRPr="00E97956" w:rsidRDefault="00E97956" w:rsidP="00E97956">
      <w:pPr>
        <w:rPr>
          <w:rFonts w:cs="Arial"/>
          <w:szCs w:val="22"/>
        </w:rPr>
      </w:pPr>
    </w:p>
    <w:p w14:paraId="65B068F0" w14:textId="2A220DE5" w:rsidR="008777FC" w:rsidRDefault="008777FC" w:rsidP="00E97956">
      <w:pPr>
        <w:pStyle w:val="ListParagraph"/>
        <w:numPr>
          <w:ilvl w:val="3"/>
          <w:numId w:val="2"/>
        </w:numPr>
        <w:ind w:left="2127" w:hanging="993"/>
        <w:rPr>
          <w:rFonts w:cs="Arial"/>
          <w:szCs w:val="22"/>
        </w:rPr>
      </w:pPr>
      <w:r w:rsidRPr="00E97956">
        <w:rPr>
          <w:rFonts w:cs="Arial"/>
          <w:szCs w:val="22"/>
        </w:rPr>
        <w:t xml:space="preserve">After the </w:t>
      </w:r>
      <w:proofErr w:type="spellStart"/>
      <w:r w:rsidRPr="00E97956">
        <w:rPr>
          <w:rFonts w:cs="Arial"/>
          <w:szCs w:val="22"/>
        </w:rPr>
        <w:t>eMDR</w:t>
      </w:r>
      <w:proofErr w:type="spellEnd"/>
      <w:r w:rsidRPr="00E97956">
        <w:rPr>
          <w:rFonts w:cs="Arial"/>
          <w:szCs w:val="22"/>
        </w:rPr>
        <w:t xml:space="preserve"> submission is packaged, the file is saved in the selected file directory or path.</w:t>
      </w:r>
    </w:p>
    <w:p w14:paraId="777BC9BA" w14:textId="77777777" w:rsidR="00E97956" w:rsidRPr="00E97956" w:rsidRDefault="00E97956" w:rsidP="00E97956">
      <w:pPr>
        <w:rPr>
          <w:rFonts w:cs="Arial"/>
          <w:szCs w:val="22"/>
        </w:rPr>
      </w:pPr>
    </w:p>
    <w:p w14:paraId="69DF7345" w14:textId="1C90A434" w:rsidR="008777FC" w:rsidRDefault="008777FC" w:rsidP="00E97956">
      <w:pPr>
        <w:pStyle w:val="ListParagraph"/>
        <w:numPr>
          <w:ilvl w:val="3"/>
          <w:numId w:val="2"/>
        </w:numPr>
        <w:ind w:left="2127" w:hanging="993"/>
        <w:rPr>
          <w:rFonts w:cs="Arial"/>
          <w:szCs w:val="22"/>
        </w:rPr>
      </w:pPr>
      <w:r w:rsidRPr="00E97956">
        <w:rPr>
          <w:rFonts w:cs="Arial"/>
          <w:szCs w:val="22"/>
        </w:rPr>
        <w:t xml:space="preserve">Log in to the ESG using the Web Trader Account information, click on “Send Document”, enter the packaged </w:t>
      </w:r>
      <w:proofErr w:type="spellStart"/>
      <w:r w:rsidRPr="00E97956">
        <w:rPr>
          <w:rFonts w:cs="Arial"/>
          <w:szCs w:val="22"/>
        </w:rPr>
        <w:t>eMDR</w:t>
      </w:r>
      <w:proofErr w:type="spellEnd"/>
      <w:r w:rsidRPr="00E97956">
        <w:rPr>
          <w:rFonts w:cs="Arial"/>
          <w:szCs w:val="22"/>
        </w:rPr>
        <w:t xml:space="preserve"> file path or directory, select the appropriate signing certificate and then submit the </w:t>
      </w:r>
      <w:proofErr w:type="spellStart"/>
      <w:r w:rsidRPr="00E97956">
        <w:rPr>
          <w:rFonts w:cs="Arial"/>
          <w:szCs w:val="22"/>
        </w:rPr>
        <w:t>eMDR</w:t>
      </w:r>
      <w:proofErr w:type="spellEnd"/>
      <w:r w:rsidRPr="00E97956">
        <w:rPr>
          <w:rFonts w:cs="Arial"/>
          <w:szCs w:val="22"/>
        </w:rPr>
        <w:t xml:space="preserve"> to CDRH.</w:t>
      </w:r>
    </w:p>
    <w:p w14:paraId="73F81B94" w14:textId="77777777" w:rsidR="00E97956" w:rsidRPr="00E97956" w:rsidRDefault="00E97956" w:rsidP="00E97956">
      <w:pPr>
        <w:rPr>
          <w:rFonts w:cs="Arial"/>
          <w:szCs w:val="22"/>
        </w:rPr>
      </w:pPr>
    </w:p>
    <w:p w14:paraId="4BB212D2" w14:textId="1AAF9966" w:rsidR="008777FC" w:rsidRDefault="009331B1" w:rsidP="00E97956">
      <w:pPr>
        <w:pStyle w:val="ListParagraph"/>
        <w:numPr>
          <w:ilvl w:val="3"/>
          <w:numId w:val="2"/>
        </w:numPr>
        <w:ind w:left="2127" w:hanging="993"/>
        <w:rPr>
          <w:rFonts w:cs="Arial"/>
          <w:szCs w:val="22"/>
        </w:rPr>
      </w:pPr>
      <w:r w:rsidRPr="00E97956">
        <w:rPr>
          <w:rFonts w:cs="Arial"/>
          <w:szCs w:val="22"/>
        </w:rPr>
        <w:t>GT Medical</w:t>
      </w:r>
      <w:r w:rsidR="008777FC" w:rsidRPr="00E97956">
        <w:rPr>
          <w:rFonts w:cs="Arial"/>
          <w:szCs w:val="22"/>
        </w:rPr>
        <w:t xml:space="preserve"> shall receive three (3) acknowledgements after the </w:t>
      </w:r>
      <w:proofErr w:type="spellStart"/>
      <w:r w:rsidR="008777FC" w:rsidRPr="00E97956">
        <w:rPr>
          <w:rFonts w:cs="Arial"/>
          <w:szCs w:val="22"/>
        </w:rPr>
        <w:t>eMDR</w:t>
      </w:r>
      <w:proofErr w:type="spellEnd"/>
      <w:r w:rsidR="008777FC" w:rsidRPr="00E97956">
        <w:rPr>
          <w:rFonts w:cs="Arial"/>
          <w:szCs w:val="22"/>
        </w:rPr>
        <w:t xml:space="preserve"> is submitted to the FDA using the ESG:</w:t>
      </w:r>
    </w:p>
    <w:p w14:paraId="5D9C919B" w14:textId="77777777" w:rsidR="00E97956" w:rsidRPr="00E97956" w:rsidRDefault="00E97956" w:rsidP="00E97956">
      <w:pPr>
        <w:rPr>
          <w:rFonts w:cs="Arial"/>
          <w:szCs w:val="22"/>
        </w:rPr>
      </w:pPr>
    </w:p>
    <w:p w14:paraId="62355260" w14:textId="5EFFF222" w:rsidR="008777FC" w:rsidRDefault="00B845D1" w:rsidP="00E97956">
      <w:pPr>
        <w:pStyle w:val="ListParagraph"/>
        <w:numPr>
          <w:ilvl w:val="0"/>
          <w:numId w:val="17"/>
        </w:numPr>
        <w:rPr>
          <w:rFonts w:cs="Arial"/>
          <w:szCs w:val="22"/>
        </w:rPr>
      </w:pPr>
      <w:r w:rsidRPr="00E97956">
        <w:rPr>
          <w:rFonts w:cs="Arial"/>
          <w:szCs w:val="22"/>
          <w:u w:val="single"/>
        </w:rPr>
        <w:t>A</w:t>
      </w:r>
      <w:r w:rsidR="008777FC" w:rsidRPr="00E97956">
        <w:rPr>
          <w:rFonts w:cs="Arial"/>
          <w:szCs w:val="22"/>
          <w:u w:val="single"/>
        </w:rPr>
        <w:t>cknowledgement 1:</w:t>
      </w:r>
      <w:r w:rsidR="008777FC" w:rsidRPr="00E97956">
        <w:rPr>
          <w:rFonts w:cs="Arial"/>
          <w:szCs w:val="22"/>
        </w:rPr>
        <w:t xml:space="preserve"> The first acknowledgement confirms that the </w:t>
      </w:r>
      <w:proofErr w:type="spellStart"/>
      <w:r w:rsidR="008777FC" w:rsidRPr="00E97956">
        <w:rPr>
          <w:rFonts w:cs="Arial"/>
          <w:szCs w:val="22"/>
        </w:rPr>
        <w:t>eMDR</w:t>
      </w:r>
      <w:proofErr w:type="spellEnd"/>
      <w:r w:rsidR="008777FC" w:rsidRPr="00E97956">
        <w:rPr>
          <w:rFonts w:cs="Arial"/>
          <w:szCs w:val="22"/>
        </w:rPr>
        <w:t xml:space="preserve"> submission was successfully received by the ESG. If this acknowledgement is not received, contact the ESG helpdesk for support.</w:t>
      </w:r>
    </w:p>
    <w:p w14:paraId="1BF8F73E" w14:textId="77777777" w:rsidR="00E97956" w:rsidRPr="00E97956" w:rsidRDefault="00E97956" w:rsidP="00E97956">
      <w:pPr>
        <w:pStyle w:val="ListParagraph"/>
        <w:ind w:left="2847"/>
        <w:rPr>
          <w:rFonts w:cs="Arial"/>
          <w:szCs w:val="22"/>
        </w:rPr>
      </w:pPr>
    </w:p>
    <w:p w14:paraId="27C3BBFD" w14:textId="3931C6C9" w:rsidR="008777FC" w:rsidRDefault="008777FC" w:rsidP="00E97956">
      <w:pPr>
        <w:pStyle w:val="ListParagraph"/>
        <w:numPr>
          <w:ilvl w:val="0"/>
          <w:numId w:val="17"/>
        </w:numPr>
        <w:rPr>
          <w:rFonts w:cs="Arial"/>
          <w:szCs w:val="22"/>
        </w:rPr>
      </w:pPr>
      <w:r w:rsidRPr="00E97956">
        <w:rPr>
          <w:rFonts w:cs="Arial"/>
          <w:szCs w:val="22"/>
          <w:u w:val="single"/>
        </w:rPr>
        <w:lastRenderedPageBreak/>
        <w:t>Acknowledgement 2:</w:t>
      </w:r>
      <w:r w:rsidRPr="00E97956">
        <w:rPr>
          <w:rFonts w:cs="Arial"/>
          <w:szCs w:val="22"/>
        </w:rPr>
        <w:t xml:space="preserve"> The second acknowledgement indicates the </w:t>
      </w:r>
      <w:proofErr w:type="spellStart"/>
      <w:r w:rsidRPr="00E97956">
        <w:rPr>
          <w:rFonts w:cs="Arial"/>
          <w:szCs w:val="22"/>
        </w:rPr>
        <w:t>eMDR</w:t>
      </w:r>
      <w:proofErr w:type="spellEnd"/>
      <w:r w:rsidRPr="00E97956">
        <w:rPr>
          <w:rFonts w:cs="Arial"/>
          <w:szCs w:val="22"/>
        </w:rPr>
        <w:t xml:space="preserve"> submission successfully reached CDRH. If this acknowledgement is not received, contact the ESG helpdesk for support.</w:t>
      </w:r>
    </w:p>
    <w:p w14:paraId="45A3EEE0" w14:textId="77777777" w:rsidR="00E97956" w:rsidRPr="00E97956" w:rsidRDefault="00E97956" w:rsidP="00E97956">
      <w:pPr>
        <w:pStyle w:val="ListParagraph"/>
        <w:ind w:left="2847"/>
        <w:rPr>
          <w:rFonts w:cs="Arial"/>
          <w:szCs w:val="22"/>
        </w:rPr>
      </w:pPr>
    </w:p>
    <w:p w14:paraId="41C27E85" w14:textId="1AFB1B87" w:rsidR="008777FC" w:rsidRDefault="008777FC" w:rsidP="00E97956">
      <w:pPr>
        <w:pStyle w:val="ListParagraph"/>
        <w:numPr>
          <w:ilvl w:val="0"/>
          <w:numId w:val="17"/>
        </w:numPr>
        <w:rPr>
          <w:rFonts w:cs="Arial"/>
          <w:szCs w:val="22"/>
        </w:rPr>
      </w:pPr>
      <w:r w:rsidRPr="00E97956">
        <w:rPr>
          <w:rFonts w:cs="Arial"/>
          <w:szCs w:val="22"/>
          <w:u w:val="single"/>
        </w:rPr>
        <w:t>Acknowledgment 3:</w:t>
      </w:r>
      <w:r w:rsidRPr="00E97956">
        <w:rPr>
          <w:rFonts w:cs="Arial"/>
          <w:szCs w:val="22"/>
        </w:rPr>
        <w:t xml:space="preserve"> The third acknowledgement indicates whether the </w:t>
      </w:r>
      <w:proofErr w:type="spellStart"/>
      <w:r w:rsidRPr="00E97956">
        <w:rPr>
          <w:rFonts w:cs="Arial"/>
          <w:szCs w:val="22"/>
        </w:rPr>
        <w:t>eMDR</w:t>
      </w:r>
      <w:proofErr w:type="spellEnd"/>
      <w:r w:rsidRPr="00E97956">
        <w:rPr>
          <w:rFonts w:cs="Arial"/>
          <w:szCs w:val="22"/>
        </w:rPr>
        <w:t xml:space="preserve"> submission was successfully loaded or if any errors occurred during validation and loading. If an error message is received in Acknowledgment 3, correct the errors and resubmit the </w:t>
      </w:r>
      <w:proofErr w:type="spellStart"/>
      <w:r w:rsidRPr="00E97956">
        <w:rPr>
          <w:rFonts w:cs="Arial"/>
          <w:szCs w:val="22"/>
        </w:rPr>
        <w:t>eMDR</w:t>
      </w:r>
      <w:proofErr w:type="spellEnd"/>
      <w:r w:rsidRPr="00E97956">
        <w:rPr>
          <w:rFonts w:cs="Arial"/>
          <w:szCs w:val="22"/>
        </w:rPr>
        <w:t xml:space="preserve"> following the electronic submission instructions in this procedure</w:t>
      </w:r>
      <w:r w:rsidR="002D1E99">
        <w:rPr>
          <w:rFonts w:cs="Arial"/>
          <w:szCs w:val="22"/>
        </w:rPr>
        <w:t>,</w:t>
      </w:r>
    </w:p>
    <w:p w14:paraId="7AAEB24D" w14:textId="77777777" w:rsidR="002D1E99" w:rsidRPr="00E97956" w:rsidRDefault="002D1E99" w:rsidP="007F1307">
      <w:pPr>
        <w:pStyle w:val="ListParagraph"/>
        <w:ind w:left="2847"/>
        <w:rPr>
          <w:rFonts w:cs="Arial"/>
          <w:szCs w:val="22"/>
        </w:rPr>
      </w:pPr>
    </w:p>
    <w:p w14:paraId="0F4F3BBB" w14:textId="3D0FE9C2" w:rsidR="008777FC" w:rsidRDefault="008777FC" w:rsidP="00E97956">
      <w:pPr>
        <w:pStyle w:val="ListParagraph"/>
        <w:numPr>
          <w:ilvl w:val="3"/>
          <w:numId w:val="2"/>
        </w:numPr>
        <w:ind w:left="2127" w:hanging="993"/>
        <w:rPr>
          <w:rFonts w:cs="Arial"/>
          <w:szCs w:val="22"/>
        </w:rPr>
      </w:pPr>
      <w:r w:rsidRPr="00E97956">
        <w:rPr>
          <w:rFonts w:cs="Arial"/>
          <w:szCs w:val="22"/>
        </w:rPr>
        <w:t xml:space="preserve">The </w:t>
      </w:r>
      <w:proofErr w:type="spellStart"/>
      <w:r w:rsidRPr="00E97956">
        <w:rPr>
          <w:rFonts w:cs="Arial"/>
          <w:szCs w:val="22"/>
        </w:rPr>
        <w:t>eMDR</w:t>
      </w:r>
      <w:proofErr w:type="spellEnd"/>
      <w:r w:rsidRPr="00E97956">
        <w:rPr>
          <w:rFonts w:cs="Arial"/>
          <w:szCs w:val="22"/>
        </w:rPr>
        <w:t xml:space="preserve"> must be submitted to the FDA in the required timeframe as listed in Appendix B of this procedure.</w:t>
      </w:r>
    </w:p>
    <w:p w14:paraId="26877DE9" w14:textId="77777777" w:rsidR="00E97956" w:rsidRPr="00E97956" w:rsidRDefault="00E97956" w:rsidP="00E97956">
      <w:pPr>
        <w:pStyle w:val="ListParagraph"/>
        <w:ind w:left="2127"/>
        <w:rPr>
          <w:rFonts w:cs="Arial"/>
          <w:szCs w:val="22"/>
        </w:rPr>
      </w:pPr>
    </w:p>
    <w:p w14:paraId="0EC8A2CF" w14:textId="36F62398" w:rsidR="008777FC" w:rsidRDefault="008777FC" w:rsidP="00E97956">
      <w:pPr>
        <w:pStyle w:val="ListParagraph"/>
        <w:numPr>
          <w:ilvl w:val="3"/>
          <w:numId w:val="2"/>
        </w:numPr>
        <w:ind w:left="2127" w:hanging="993"/>
        <w:rPr>
          <w:rFonts w:cs="Arial"/>
          <w:szCs w:val="22"/>
        </w:rPr>
      </w:pPr>
      <w:r w:rsidRPr="00E97956">
        <w:rPr>
          <w:rFonts w:cs="Arial"/>
          <w:szCs w:val="22"/>
        </w:rPr>
        <w:t xml:space="preserve">The FDA considers the receipt date for an </w:t>
      </w:r>
      <w:proofErr w:type="spellStart"/>
      <w:r w:rsidRPr="00E97956">
        <w:rPr>
          <w:rFonts w:cs="Arial"/>
          <w:szCs w:val="22"/>
        </w:rPr>
        <w:t>eMDR</w:t>
      </w:r>
      <w:proofErr w:type="spellEnd"/>
      <w:r w:rsidRPr="00E97956">
        <w:rPr>
          <w:rFonts w:cs="Arial"/>
          <w:szCs w:val="22"/>
        </w:rPr>
        <w:t xml:space="preserve"> to be the date the </w:t>
      </w:r>
      <w:proofErr w:type="spellStart"/>
      <w:r w:rsidRPr="00E97956">
        <w:rPr>
          <w:rFonts w:cs="Arial"/>
          <w:szCs w:val="22"/>
        </w:rPr>
        <w:t>eMDR</w:t>
      </w:r>
      <w:proofErr w:type="spellEnd"/>
      <w:r w:rsidRPr="00E97956">
        <w:rPr>
          <w:rFonts w:cs="Arial"/>
          <w:szCs w:val="22"/>
        </w:rPr>
        <w:t xml:space="preserve"> arrived at the ESG (Acknowledgment 1), but only if the </w:t>
      </w:r>
      <w:proofErr w:type="spellStart"/>
      <w:r w:rsidRPr="00E97956">
        <w:rPr>
          <w:rFonts w:cs="Arial"/>
          <w:szCs w:val="22"/>
        </w:rPr>
        <w:t>eMDR</w:t>
      </w:r>
      <w:proofErr w:type="spellEnd"/>
      <w:r w:rsidRPr="00E97956">
        <w:rPr>
          <w:rFonts w:cs="Arial"/>
          <w:szCs w:val="22"/>
        </w:rPr>
        <w:t xml:space="preserve"> is successfully validated and loaded in the CDRH database (Acknowledgment 3 with no error message). If a failure occurs during the validation or loading process (Acknowledgment 3), the error(s) described in the third acknowledgment need to be corrected and then the </w:t>
      </w:r>
      <w:proofErr w:type="spellStart"/>
      <w:r w:rsidRPr="00E97956">
        <w:rPr>
          <w:rFonts w:cs="Arial"/>
          <w:szCs w:val="22"/>
        </w:rPr>
        <w:t>eMDR</w:t>
      </w:r>
      <w:proofErr w:type="spellEnd"/>
      <w:r w:rsidRPr="00E97956">
        <w:rPr>
          <w:rFonts w:cs="Arial"/>
          <w:szCs w:val="22"/>
        </w:rPr>
        <w:t xml:space="preserve"> resubmitted. If the resubmitted </w:t>
      </w:r>
      <w:proofErr w:type="spellStart"/>
      <w:r w:rsidRPr="00E97956">
        <w:rPr>
          <w:rFonts w:cs="Arial"/>
          <w:szCs w:val="22"/>
        </w:rPr>
        <w:t>eMDR</w:t>
      </w:r>
      <w:proofErr w:type="spellEnd"/>
      <w:r w:rsidRPr="00E97956">
        <w:rPr>
          <w:rFonts w:cs="Arial"/>
          <w:szCs w:val="22"/>
        </w:rPr>
        <w:t xml:space="preserve"> is successfully loaded, (Acknowledgment 3 with no error message), the receipt date will be the date that the </w:t>
      </w:r>
      <w:r w:rsidRPr="00E97956">
        <w:rPr>
          <w:rFonts w:cs="Arial"/>
          <w:szCs w:val="22"/>
          <w:u w:val="single"/>
        </w:rPr>
        <w:t>resubmitted</w:t>
      </w:r>
      <w:r w:rsidRPr="00E97956">
        <w:rPr>
          <w:rFonts w:cs="Arial"/>
          <w:szCs w:val="22"/>
        </w:rPr>
        <w:t xml:space="preserve"> </w:t>
      </w:r>
      <w:proofErr w:type="spellStart"/>
      <w:r w:rsidRPr="00E97956">
        <w:rPr>
          <w:rFonts w:cs="Arial"/>
          <w:szCs w:val="22"/>
        </w:rPr>
        <w:t>eMDR</w:t>
      </w:r>
      <w:proofErr w:type="spellEnd"/>
      <w:r w:rsidRPr="00E97956">
        <w:rPr>
          <w:rFonts w:cs="Arial"/>
          <w:szCs w:val="22"/>
        </w:rPr>
        <w:t xml:space="preserve"> arrived at the ESG, as documented in Acknowledgment 1 for the </w:t>
      </w:r>
      <w:r w:rsidRPr="00E97956">
        <w:rPr>
          <w:rFonts w:cs="Arial"/>
          <w:szCs w:val="22"/>
          <w:u w:val="single"/>
        </w:rPr>
        <w:t>resubmitted</w:t>
      </w:r>
      <w:r w:rsidRPr="00E97956">
        <w:rPr>
          <w:rFonts w:cs="Arial"/>
          <w:szCs w:val="22"/>
        </w:rPr>
        <w:t xml:space="preserve"> </w:t>
      </w:r>
      <w:proofErr w:type="spellStart"/>
      <w:r w:rsidRPr="00E97956">
        <w:rPr>
          <w:rFonts w:cs="Arial"/>
          <w:szCs w:val="22"/>
        </w:rPr>
        <w:t>eMDR</w:t>
      </w:r>
      <w:proofErr w:type="spellEnd"/>
      <w:r w:rsidRPr="00E97956">
        <w:rPr>
          <w:rFonts w:cs="Arial"/>
          <w:szCs w:val="22"/>
        </w:rPr>
        <w:t>.</w:t>
      </w:r>
    </w:p>
    <w:p w14:paraId="1BC050CB" w14:textId="77777777" w:rsidR="00E97956" w:rsidRPr="00E97956" w:rsidRDefault="00E97956" w:rsidP="00E97956">
      <w:pPr>
        <w:rPr>
          <w:rFonts w:cs="Arial"/>
          <w:szCs w:val="22"/>
        </w:rPr>
      </w:pPr>
    </w:p>
    <w:p w14:paraId="119EFB55" w14:textId="2540C35B" w:rsidR="008777FC" w:rsidRDefault="008777FC" w:rsidP="00E97956">
      <w:pPr>
        <w:pStyle w:val="ListParagraph"/>
        <w:numPr>
          <w:ilvl w:val="3"/>
          <w:numId w:val="2"/>
        </w:numPr>
        <w:ind w:left="2127" w:hanging="993"/>
        <w:rPr>
          <w:rFonts w:cs="Arial"/>
          <w:szCs w:val="22"/>
        </w:rPr>
      </w:pPr>
      <w:r w:rsidRPr="00E97956">
        <w:rPr>
          <w:rFonts w:cs="Arial"/>
          <w:szCs w:val="22"/>
        </w:rPr>
        <w:t>If the device was manufactured at a site other than where the original Complaint Files are maintained, a copy of the complaint will be sent to the manufacturer.</w:t>
      </w:r>
    </w:p>
    <w:p w14:paraId="40934A62" w14:textId="77777777" w:rsidR="00E97956" w:rsidRPr="00E97956" w:rsidRDefault="00E97956" w:rsidP="00E97956">
      <w:pPr>
        <w:rPr>
          <w:rFonts w:cs="Arial"/>
          <w:szCs w:val="22"/>
        </w:rPr>
      </w:pPr>
    </w:p>
    <w:p w14:paraId="344835AA" w14:textId="7EB0E2CA" w:rsidR="008777FC" w:rsidRDefault="008777FC" w:rsidP="00E97956">
      <w:pPr>
        <w:pStyle w:val="ListParagraph"/>
        <w:numPr>
          <w:ilvl w:val="3"/>
          <w:numId w:val="2"/>
        </w:numPr>
        <w:ind w:left="2127" w:hanging="993"/>
        <w:rPr>
          <w:rFonts w:cs="Arial"/>
          <w:szCs w:val="22"/>
        </w:rPr>
      </w:pPr>
      <w:r w:rsidRPr="00E97956">
        <w:rPr>
          <w:rFonts w:cs="Arial"/>
          <w:szCs w:val="22"/>
        </w:rPr>
        <w:t>Subsequent Reports will be issued if required. In the case of an MDR, a supplemental report is issued to the FDA if additional material information becomes available after the initial report has been submitted or upon request for additional information by the FDA.</w:t>
      </w:r>
    </w:p>
    <w:p w14:paraId="62F960C8" w14:textId="77777777" w:rsidR="00E97956" w:rsidRPr="00E97956" w:rsidRDefault="00E97956" w:rsidP="00E97956">
      <w:pPr>
        <w:rPr>
          <w:rFonts w:cs="Arial"/>
          <w:szCs w:val="22"/>
        </w:rPr>
      </w:pPr>
    </w:p>
    <w:p w14:paraId="0B0173A0" w14:textId="4176F1CF" w:rsidR="008777FC" w:rsidRDefault="008777FC" w:rsidP="00E97956">
      <w:pPr>
        <w:pStyle w:val="ListParagraph"/>
        <w:numPr>
          <w:ilvl w:val="3"/>
          <w:numId w:val="2"/>
        </w:numPr>
        <w:ind w:left="2127" w:hanging="993"/>
        <w:rPr>
          <w:rFonts w:cs="Arial"/>
          <w:szCs w:val="22"/>
        </w:rPr>
      </w:pPr>
      <w:r w:rsidRPr="00E97956">
        <w:rPr>
          <w:rFonts w:cs="Arial"/>
          <w:szCs w:val="22"/>
        </w:rPr>
        <w:t xml:space="preserve">Any supplemental, follow-up or additional information report submissions shall also be prepared, completed and submitted in an electronic format using </w:t>
      </w:r>
      <w:proofErr w:type="spellStart"/>
      <w:r w:rsidRPr="00E97956">
        <w:rPr>
          <w:rFonts w:cs="Arial"/>
          <w:szCs w:val="22"/>
        </w:rPr>
        <w:t>eSubmitter</w:t>
      </w:r>
      <w:proofErr w:type="spellEnd"/>
      <w:r w:rsidRPr="00E97956">
        <w:rPr>
          <w:rFonts w:cs="Arial"/>
          <w:szCs w:val="22"/>
        </w:rPr>
        <w:t xml:space="preserve"> and ESG as described for </w:t>
      </w:r>
      <w:proofErr w:type="spellStart"/>
      <w:r w:rsidRPr="00E97956">
        <w:rPr>
          <w:rFonts w:cs="Arial"/>
          <w:szCs w:val="22"/>
        </w:rPr>
        <w:t>eMDRs</w:t>
      </w:r>
      <w:proofErr w:type="spellEnd"/>
      <w:r w:rsidRPr="00E97956">
        <w:rPr>
          <w:rFonts w:cs="Arial"/>
          <w:szCs w:val="22"/>
        </w:rPr>
        <w:t xml:space="preserve"> in this procedure.</w:t>
      </w:r>
    </w:p>
    <w:p w14:paraId="0B27679F" w14:textId="77777777" w:rsidR="00E97956" w:rsidRPr="00E97956" w:rsidRDefault="00E97956" w:rsidP="00E97956">
      <w:pPr>
        <w:rPr>
          <w:rFonts w:cs="Arial"/>
          <w:szCs w:val="22"/>
        </w:rPr>
      </w:pPr>
    </w:p>
    <w:p w14:paraId="2D6E5B87" w14:textId="4850932B" w:rsidR="009640D7" w:rsidRDefault="008777FC" w:rsidP="00E97956">
      <w:pPr>
        <w:pStyle w:val="ListParagraph"/>
        <w:numPr>
          <w:ilvl w:val="3"/>
          <w:numId w:val="2"/>
        </w:numPr>
        <w:ind w:left="2127" w:hanging="993"/>
        <w:rPr>
          <w:rFonts w:cs="Arial"/>
          <w:szCs w:val="22"/>
        </w:rPr>
      </w:pPr>
      <w:r w:rsidRPr="00E97956">
        <w:rPr>
          <w:rFonts w:cs="Arial"/>
          <w:szCs w:val="22"/>
        </w:rPr>
        <w:t xml:space="preserve">A paper copy of all </w:t>
      </w:r>
      <w:proofErr w:type="spellStart"/>
      <w:r w:rsidRPr="00E97956">
        <w:rPr>
          <w:rFonts w:cs="Arial"/>
          <w:szCs w:val="22"/>
        </w:rPr>
        <w:t>eMDR</w:t>
      </w:r>
      <w:proofErr w:type="spellEnd"/>
      <w:r w:rsidRPr="00E97956">
        <w:rPr>
          <w:rFonts w:cs="Arial"/>
          <w:szCs w:val="22"/>
        </w:rPr>
        <w:t xml:space="preserve"> records and supporting documents (including all electronic acknowledgments sent by FDA in response to such </w:t>
      </w:r>
      <w:proofErr w:type="spellStart"/>
      <w:r w:rsidRPr="00E97956">
        <w:rPr>
          <w:rFonts w:cs="Arial"/>
          <w:szCs w:val="22"/>
        </w:rPr>
        <w:t>eMDRs</w:t>
      </w:r>
      <w:proofErr w:type="spellEnd"/>
      <w:r w:rsidRPr="00E97956">
        <w:rPr>
          <w:rFonts w:cs="Arial"/>
          <w:szCs w:val="22"/>
        </w:rPr>
        <w:t>) must be filed and controlled in accordance with Document and Record Controls as per SOP-100, Quality Manual. Complaint requiring MDR will be maintained in a specially designated area or be uniquely identified (e.g. a red folder)</w:t>
      </w:r>
      <w:r w:rsidR="00B845D1" w:rsidRPr="00E97956">
        <w:rPr>
          <w:rFonts w:cs="Arial"/>
          <w:szCs w:val="22"/>
        </w:rPr>
        <w:t>.</w:t>
      </w:r>
    </w:p>
    <w:p w14:paraId="562AC5CA" w14:textId="77777777" w:rsidR="00E97956" w:rsidRPr="00E97956" w:rsidRDefault="00E97956" w:rsidP="00E97956">
      <w:pPr>
        <w:rPr>
          <w:rFonts w:cs="Arial"/>
          <w:szCs w:val="22"/>
        </w:rPr>
      </w:pPr>
    </w:p>
    <w:p w14:paraId="4D9D1F24" w14:textId="219EB08A" w:rsidR="009640D7" w:rsidRPr="00E97956" w:rsidRDefault="009640D7" w:rsidP="00E97956">
      <w:pPr>
        <w:pStyle w:val="ListParagraph"/>
        <w:numPr>
          <w:ilvl w:val="3"/>
          <w:numId w:val="2"/>
        </w:numPr>
        <w:ind w:left="2070" w:hanging="990"/>
        <w:rPr>
          <w:rFonts w:cs="Arial"/>
          <w:szCs w:val="22"/>
        </w:rPr>
      </w:pPr>
      <w:r w:rsidRPr="00E97956">
        <w:rPr>
          <w:rFonts w:cs="Arial"/>
          <w:szCs w:val="22"/>
          <w:u w:val="single"/>
        </w:rPr>
        <w:t>Closure of the MDR:</w:t>
      </w:r>
      <w:r w:rsidRPr="00E97956">
        <w:rPr>
          <w:rFonts w:cs="Arial"/>
          <w:szCs w:val="22"/>
        </w:rPr>
        <w:t xml:space="preserve"> Closure of an MDR incident shall be based on the results of the investigation and/or receipt of a closeout report from the FDA.</w:t>
      </w:r>
    </w:p>
    <w:p w14:paraId="7FAA4D80" w14:textId="7B1A9DD2" w:rsidR="009640D7" w:rsidRPr="00E97956" w:rsidRDefault="006F242E" w:rsidP="00E97956">
      <w:pPr>
        <w:pStyle w:val="ListParagraph"/>
        <w:ind w:left="2127"/>
        <w:rPr>
          <w:rFonts w:cs="Arial"/>
          <w:szCs w:val="22"/>
        </w:rPr>
      </w:pPr>
      <w:r>
        <w:rPr>
          <w:rFonts w:cs="Arial"/>
          <w:szCs w:val="22"/>
        </w:rPr>
        <w:t xml:space="preserve"> </w:t>
      </w:r>
    </w:p>
    <w:p w14:paraId="11F459EE" w14:textId="2E5BBEB8" w:rsidR="00E55A20" w:rsidRDefault="00E55A20" w:rsidP="00E97956">
      <w:pPr>
        <w:pStyle w:val="ListParagraph"/>
        <w:numPr>
          <w:ilvl w:val="1"/>
          <w:numId w:val="2"/>
        </w:numPr>
        <w:ind w:left="990" w:hanging="630"/>
        <w:rPr>
          <w:rFonts w:cs="Arial"/>
          <w:b/>
          <w:szCs w:val="22"/>
        </w:rPr>
      </w:pPr>
      <w:r>
        <w:rPr>
          <w:rFonts w:cs="Arial"/>
          <w:b/>
          <w:szCs w:val="22"/>
        </w:rPr>
        <w:t>Report</w:t>
      </w:r>
      <w:r w:rsidR="006F242E">
        <w:rPr>
          <w:rFonts w:cs="Arial"/>
          <w:b/>
          <w:szCs w:val="22"/>
        </w:rPr>
        <w:t>ing</w:t>
      </w:r>
      <w:r>
        <w:rPr>
          <w:rFonts w:cs="Arial"/>
          <w:b/>
          <w:szCs w:val="22"/>
        </w:rPr>
        <w:t xml:space="preserve"> events to notified bodies</w:t>
      </w:r>
    </w:p>
    <w:p w14:paraId="10B066EC" w14:textId="77777777" w:rsidR="002D1E99" w:rsidRDefault="002D1E99" w:rsidP="007F1307">
      <w:pPr>
        <w:pStyle w:val="ListParagraph"/>
        <w:ind w:left="990"/>
        <w:rPr>
          <w:rFonts w:cs="Arial"/>
          <w:b/>
          <w:szCs w:val="22"/>
        </w:rPr>
      </w:pPr>
    </w:p>
    <w:p w14:paraId="56B95BD6" w14:textId="5A69298D" w:rsidR="006F242E" w:rsidRDefault="006F242E" w:rsidP="007F1307">
      <w:pPr>
        <w:pStyle w:val="ListParagraph"/>
        <w:numPr>
          <w:ilvl w:val="2"/>
          <w:numId w:val="2"/>
        </w:numPr>
        <w:ind w:left="1440" w:hanging="810"/>
        <w:rPr>
          <w:rFonts w:cs="Arial"/>
          <w:szCs w:val="22"/>
        </w:rPr>
      </w:pPr>
      <w:r w:rsidRPr="00D60ED5">
        <w:rPr>
          <w:rFonts w:cs="Arial"/>
          <w:szCs w:val="22"/>
        </w:rPr>
        <w:t xml:space="preserve">GT Medical shall </w:t>
      </w:r>
      <w:r>
        <w:rPr>
          <w:rFonts w:cs="Arial"/>
          <w:szCs w:val="22"/>
        </w:rPr>
        <w:t xml:space="preserve">report adverse events to notified bodies, and other applicable regulatory authorities, in accordance with the specific requirements of those authorities provided to industry.  </w:t>
      </w:r>
    </w:p>
    <w:p w14:paraId="0F6BDA72" w14:textId="77777777" w:rsidR="002D1E99" w:rsidRPr="00D60ED5" w:rsidRDefault="002D1E99" w:rsidP="007F1307">
      <w:pPr>
        <w:pStyle w:val="ListParagraph"/>
        <w:ind w:left="1224"/>
        <w:rPr>
          <w:rFonts w:cs="Arial"/>
          <w:szCs w:val="22"/>
        </w:rPr>
      </w:pPr>
    </w:p>
    <w:p w14:paraId="0ECDB4E0" w14:textId="7ECCCD7E" w:rsidR="00F94386" w:rsidRDefault="008777FC" w:rsidP="00E97956">
      <w:pPr>
        <w:pStyle w:val="ListParagraph"/>
        <w:numPr>
          <w:ilvl w:val="1"/>
          <w:numId w:val="2"/>
        </w:numPr>
        <w:ind w:left="990" w:hanging="630"/>
        <w:rPr>
          <w:rFonts w:cs="Arial"/>
          <w:b/>
          <w:szCs w:val="22"/>
        </w:rPr>
      </w:pPr>
      <w:r w:rsidRPr="00E97956">
        <w:rPr>
          <w:rFonts w:cs="Arial"/>
          <w:b/>
          <w:szCs w:val="22"/>
        </w:rPr>
        <w:lastRenderedPageBreak/>
        <w:t>Recalls</w:t>
      </w:r>
    </w:p>
    <w:p w14:paraId="14DDF144" w14:textId="77777777" w:rsidR="00E97956" w:rsidRPr="00E97956" w:rsidRDefault="00E97956" w:rsidP="00E97956">
      <w:pPr>
        <w:pStyle w:val="ListParagraph"/>
        <w:ind w:left="990"/>
        <w:rPr>
          <w:rFonts w:cs="Arial"/>
          <w:b/>
          <w:szCs w:val="22"/>
        </w:rPr>
      </w:pPr>
    </w:p>
    <w:p w14:paraId="43DDB43B" w14:textId="217D8AF5" w:rsidR="008777FC" w:rsidRDefault="00550E36" w:rsidP="00E97956">
      <w:pPr>
        <w:pStyle w:val="ListParagraph"/>
        <w:numPr>
          <w:ilvl w:val="2"/>
          <w:numId w:val="2"/>
        </w:numPr>
        <w:ind w:left="1350" w:hanging="720"/>
        <w:rPr>
          <w:rFonts w:eastAsia="Arial" w:cs="Arial"/>
        </w:rPr>
      </w:pPr>
      <w:r w:rsidRPr="00E97956">
        <w:rPr>
          <w:rFonts w:eastAsia="Arial" w:cs="Arial"/>
          <w:u w:val="single"/>
        </w:rPr>
        <w:t>Requirements for reporting:</w:t>
      </w:r>
      <w:r w:rsidRPr="00E97956">
        <w:rPr>
          <w:rFonts w:eastAsia="Arial" w:cs="Arial"/>
        </w:rPr>
        <w:t xml:space="preserve"> </w:t>
      </w:r>
      <w:r w:rsidR="008777FC" w:rsidRPr="00E97956">
        <w:rPr>
          <w:rFonts w:eastAsia="Arial" w:cs="Arial"/>
        </w:rPr>
        <w:t xml:space="preserve">Should the evidence point to the need for a </w:t>
      </w:r>
      <w:r w:rsidR="00F94386" w:rsidRPr="00E97956">
        <w:rPr>
          <w:rFonts w:eastAsia="Arial" w:cs="Arial"/>
        </w:rPr>
        <w:t xml:space="preserve">medical device </w:t>
      </w:r>
      <w:r w:rsidR="008777FC" w:rsidRPr="00E97956">
        <w:rPr>
          <w:rFonts w:eastAsia="Arial" w:cs="Arial"/>
        </w:rPr>
        <w:t>recall, specific reporting action is required by all applicable Regulatory Bodies.</w:t>
      </w:r>
    </w:p>
    <w:p w14:paraId="684896E4" w14:textId="77777777" w:rsidR="00E97956" w:rsidRPr="00E97956" w:rsidRDefault="00E97956" w:rsidP="00E97956">
      <w:pPr>
        <w:ind w:left="630"/>
        <w:rPr>
          <w:rFonts w:eastAsia="Arial" w:cs="Arial"/>
        </w:rPr>
      </w:pPr>
    </w:p>
    <w:p w14:paraId="6C6039AB" w14:textId="213805BB" w:rsidR="008777FC" w:rsidRDefault="00550E36" w:rsidP="00E97956">
      <w:pPr>
        <w:pStyle w:val="ListParagraph"/>
        <w:numPr>
          <w:ilvl w:val="2"/>
          <w:numId w:val="2"/>
        </w:numPr>
        <w:ind w:left="1350" w:hanging="720"/>
        <w:rPr>
          <w:rFonts w:cs="Arial"/>
          <w:szCs w:val="22"/>
        </w:rPr>
      </w:pPr>
      <w:r w:rsidRPr="00E97956">
        <w:rPr>
          <w:rFonts w:eastAsia="Arial" w:cs="Arial"/>
          <w:u w:val="single"/>
        </w:rPr>
        <w:t>Responsibility for Recalls:</w:t>
      </w:r>
      <w:r w:rsidRPr="00E97956">
        <w:rPr>
          <w:rFonts w:eastAsia="Arial" w:cs="Arial"/>
        </w:rPr>
        <w:t xml:space="preserve"> </w:t>
      </w:r>
      <w:r w:rsidR="00AF467F" w:rsidRPr="00E97956">
        <w:rPr>
          <w:rFonts w:cs="Arial"/>
          <w:szCs w:val="22"/>
        </w:rPr>
        <w:t xml:space="preserve">The manufacturer whose name appears on the label is responsible for all recall communications to end users and the FDA. </w:t>
      </w:r>
      <w:r w:rsidR="009331B1" w:rsidRPr="00E97956">
        <w:rPr>
          <w:rFonts w:cs="Arial"/>
          <w:szCs w:val="22"/>
        </w:rPr>
        <w:t>GT Medical</w:t>
      </w:r>
      <w:r w:rsidR="00AF467F" w:rsidRPr="00E97956">
        <w:rPr>
          <w:rFonts w:cs="Arial"/>
          <w:szCs w:val="22"/>
        </w:rPr>
        <w:t xml:space="preserve"> will notify its distributors when and if any information becomes available that would suggest that product sold to them might require a recall.</w:t>
      </w:r>
    </w:p>
    <w:p w14:paraId="7D408CCE" w14:textId="77777777" w:rsidR="00E97956" w:rsidRPr="00E97956" w:rsidRDefault="00E97956" w:rsidP="00E97956">
      <w:pPr>
        <w:rPr>
          <w:rFonts w:cs="Arial"/>
          <w:szCs w:val="22"/>
        </w:rPr>
      </w:pPr>
    </w:p>
    <w:p w14:paraId="36CFECD5" w14:textId="76E52EBE" w:rsidR="008777FC" w:rsidRDefault="00AF467F" w:rsidP="00E97956">
      <w:pPr>
        <w:pStyle w:val="ListParagraph"/>
        <w:numPr>
          <w:ilvl w:val="2"/>
          <w:numId w:val="2"/>
        </w:numPr>
        <w:ind w:left="1350" w:hanging="720"/>
        <w:rPr>
          <w:rFonts w:cs="Arial"/>
          <w:szCs w:val="22"/>
        </w:rPr>
      </w:pPr>
      <w:r w:rsidRPr="00E97956">
        <w:rPr>
          <w:rFonts w:cs="Arial"/>
          <w:szCs w:val="22"/>
          <w:u w:val="single"/>
        </w:rPr>
        <w:t>Complaint initiated Recalls:</w:t>
      </w:r>
      <w:r w:rsidRPr="00E97956">
        <w:rPr>
          <w:rFonts w:cs="Arial"/>
          <w:szCs w:val="22"/>
        </w:rPr>
        <w:t xml:space="preserve"> </w:t>
      </w:r>
      <w:r w:rsidR="008777FC" w:rsidRPr="00E97956">
        <w:rPr>
          <w:rFonts w:cs="Arial"/>
          <w:szCs w:val="22"/>
        </w:rPr>
        <w:t xml:space="preserve">Whenever </w:t>
      </w:r>
      <w:r w:rsidR="009331B1" w:rsidRPr="00E97956">
        <w:rPr>
          <w:rFonts w:cs="Arial"/>
          <w:szCs w:val="22"/>
        </w:rPr>
        <w:t>GT Medical</w:t>
      </w:r>
      <w:r w:rsidR="008777FC" w:rsidRPr="00E97956">
        <w:rPr>
          <w:rFonts w:cs="Arial"/>
          <w:szCs w:val="22"/>
        </w:rPr>
        <w:t xml:space="preserve"> is made aware of customer complaints involving product malfunction or serious injury, an investigation shall begin immediately. If the investigation confirms product is defective and malfunctioning, a Health Hazard Evaluation, per </w:t>
      </w:r>
      <w:r w:rsidR="008777FC" w:rsidRPr="00E97956">
        <w:rPr>
          <w:rFonts w:cs="Arial"/>
          <w:i/>
          <w:szCs w:val="22"/>
        </w:rPr>
        <w:t>21 CFR, Part 7.41, Health hazard evaluation and recall classification</w:t>
      </w:r>
      <w:r w:rsidR="008777FC" w:rsidRPr="00E97956">
        <w:rPr>
          <w:rFonts w:cs="Arial"/>
          <w:szCs w:val="22"/>
        </w:rPr>
        <w:t xml:space="preserve">, shall be conducted by </w:t>
      </w:r>
      <w:r w:rsidR="009331B1" w:rsidRPr="00E97956">
        <w:rPr>
          <w:rFonts w:cs="Arial"/>
          <w:szCs w:val="22"/>
        </w:rPr>
        <w:t>GT Medical</w:t>
      </w:r>
      <w:r w:rsidR="008777FC" w:rsidRPr="00E97956">
        <w:rPr>
          <w:rFonts w:cs="Arial"/>
          <w:szCs w:val="22"/>
        </w:rPr>
        <w:t xml:space="preserve">. All products remaining undistributed at </w:t>
      </w:r>
      <w:r w:rsidR="009331B1" w:rsidRPr="00E97956">
        <w:rPr>
          <w:rFonts w:cs="Arial"/>
          <w:szCs w:val="22"/>
        </w:rPr>
        <w:t>GT Medical</w:t>
      </w:r>
      <w:r w:rsidR="008777FC" w:rsidRPr="00E97956">
        <w:rPr>
          <w:rFonts w:cs="Arial"/>
          <w:szCs w:val="22"/>
        </w:rPr>
        <w:t xml:space="preserve"> is to be immediately quarantined.</w:t>
      </w:r>
    </w:p>
    <w:p w14:paraId="513F1812" w14:textId="77777777" w:rsidR="002D1E99" w:rsidRPr="007F1307" w:rsidRDefault="002D1E99" w:rsidP="007F1307">
      <w:pPr>
        <w:rPr>
          <w:rFonts w:cs="Arial"/>
          <w:szCs w:val="22"/>
        </w:rPr>
      </w:pPr>
    </w:p>
    <w:p w14:paraId="61BD6904" w14:textId="34CCDD5F" w:rsidR="008777FC" w:rsidRPr="00E97956" w:rsidRDefault="00AF467F" w:rsidP="00E97956">
      <w:pPr>
        <w:pStyle w:val="ListParagraph"/>
        <w:numPr>
          <w:ilvl w:val="2"/>
          <w:numId w:val="2"/>
        </w:numPr>
        <w:ind w:left="1350" w:hanging="720"/>
        <w:rPr>
          <w:rFonts w:cs="Arial"/>
          <w:szCs w:val="22"/>
        </w:rPr>
      </w:pPr>
      <w:r w:rsidRPr="00E97956">
        <w:rPr>
          <w:rFonts w:cs="Arial"/>
          <w:szCs w:val="22"/>
          <w:u w:val="single"/>
        </w:rPr>
        <w:t>Recall Strategy:</w:t>
      </w:r>
      <w:r w:rsidRPr="00E97956">
        <w:rPr>
          <w:rFonts w:cs="Arial"/>
          <w:szCs w:val="22"/>
        </w:rPr>
        <w:t xml:space="preserve"> </w:t>
      </w:r>
      <w:r w:rsidR="008777FC" w:rsidRPr="00E97956">
        <w:rPr>
          <w:rFonts w:cs="Arial"/>
          <w:szCs w:val="22"/>
        </w:rPr>
        <w:t>A recall strategy must then be identified taking into consideration the following factors:</w:t>
      </w:r>
    </w:p>
    <w:p w14:paraId="3A729CCA" w14:textId="77777777" w:rsidR="008777FC" w:rsidRPr="00E97956" w:rsidRDefault="008777FC" w:rsidP="00E97956">
      <w:pPr>
        <w:pStyle w:val="ListParagraph"/>
        <w:numPr>
          <w:ilvl w:val="0"/>
          <w:numId w:val="23"/>
        </w:numPr>
        <w:rPr>
          <w:rFonts w:eastAsia="Calibri" w:cs="Arial"/>
          <w:color w:val="000000"/>
          <w:szCs w:val="22"/>
          <w:lang w:eastAsia="en-US"/>
        </w:rPr>
      </w:pPr>
      <w:r w:rsidRPr="00E97956">
        <w:rPr>
          <w:rFonts w:eastAsia="Calibri" w:cs="Arial"/>
          <w:bCs/>
          <w:color w:val="000000"/>
          <w:szCs w:val="22"/>
          <w:lang w:eastAsia="en-US"/>
        </w:rPr>
        <w:t xml:space="preserve">Results of health hazard evaluation </w:t>
      </w:r>
    </w:p>
    <w:p w14:paraId="59F5BF28" w14:textId="77777777" w:rsidR="008777FC" w:rsidRPr="00E97956" w:rsidRDefault="008777FC" w:rsidP="00E97956">
      <w:pPr>
        <w:pStyle w:val="ListParagraph"/>
        <w:numPr>
          <w:ilvl w:val="0"/>
          <w:numId w:val="23"/>
        </w:numPr>
        <w:rPr>
          <w:rFonts w:eastAsia="Calibri" w:cs="Arial"/>
          <w:color w:val="000000"/>
          <w:szCs w:val="22"/>
          <w:lang w:eastAsia="en-US"/>
        </w:rPr>
      </w:pPr>
      <w:r w:rsidRPr="00E97956">
        <w:rPr>
          <w:rFonts w:eastAsia="Calibri" w:cs="Arial"/>
          <w:bCs/>
          <w:color w:val="000000"/>
          <w:szCs w:val="22"/>
          <w:lang w:eastAsia="en-US"/>
        </w:rPr>
        <w:t>Ease in identifying the product</w:t>
      </w:r>
    </w:p>
    <w:p w14:paraId="43B35033" w14:textId="77777777" w:rsidR="008777FC" w:rsidRPr="00E97956" w:rsidRDefault="008777FC" w:rsidP="00E97956">
      <w:pPr>
        <w:pStyle w:val="ListParagraph"/>
        <w:numPr>
          <w:ilvl w:val="0"/>
          <w:numId w:val="23"/>
        </w:numPr>
        <w:rPr>
          <w:rFonts w:eastAsia="Calibri" w:cs="Arial"/>
          <w:color w:val="000000"/>
          <w:szCs w:val="22"/>
          <w:lang w:eastAsia="en-US"/>
        </w:rPr>
      </w:pPr>
      <w:r w:rsidRPr="00E97956">
        <w:rPr>
          <w:rFonts w:eastAsia="Calibri" w:cs="Arial"/>
          <w:bCs/>
          <w:color w:val="000000"/>
          <w:szCs w:val="22"/>
          <w:lang w:eastAsia="en-US"/>
        </w:rPr>
        <w:t>Degree to which the deficiency is obvious to user</w:t>
      </w:r>
    </w:p>
    <w:p w14:paraId="5118993B" w14:textId="77777777" w:rsidR="008777FC" w:rsidRPr="00E97956" w:rsidRDefault="008777FC" w:rsidP="00E97956">
      <w:pPr>
        <w:pStyle w:val="ListParagraph"/>
        <w:numPr>
          <w:ilvl w:val="0"/>
          <w:numId w:val="23"/>
        </w:numPr>
        <w:rPr>
          <w:rFonts w:eastAsia="Calibri" w:cs="Arial"/>
          <w:color w:val="000000"/>
          <w:szCs w:val="22"/>
          <w:lang w:eastAsia="en-US"/>
        </w:rPr>
      </w:pPr>
      <w:r w:rsidRPr="00E97956">
        <w:rPr>
          <w:rFonts w:eastAsia="Calibri" w:cs="Arial"/>
          <w:bCs/>
          <w:color w:val="000000"/>
          <w:szCs w:val="22"/>
          <w:lang w:eastAsia="en-US"/>
        </w:rPr>
        <w:t>Degree to which the product remains unused</w:t>
      </w:r>
    </w:p>
    <w:p w14:paraId="273BB4D4" w14:textId="70D77131" w:rsidR="008777FC" w:rsidRPr="007F1307" w:rsidRDefault="008777FC" w:rsidP="00E97956">
      <w:pPr>
        <w:pStyle w:val="ListParagraph"/>
        <w:numPr>
          <w:ilvl w:val="0"/>
          <w:numId w:val="23"/>
        </w:numPr>
        <w:rPr>
          <w:rFonts w:cs="Arial"/>
          <w:szCs w:val="22"/>
        </w:rPr>
      </w:pPr>
      <w:r w:rsidRPr="00E97956">
        <w:rPr>
          <w:rFonts w:eastAsia="Calibri" w:cs="Arial"/>
          <w:bCs/>
          <w:color w:val="000000"/>
          <w:szCs w:val="22"/>
          <w:lang w:eastAsia="en-US"/>
        </w:rPr>
        <w:t>Continued availability of essential product</w:t>
      </w:r>
    </w:p>
    <w:p w14:paraId="141E472F" w14:textId="77777777" w:rsidR="002D1E99" w:rsidRPr="00E97956" w:rsidRDefault="002D1E99" w:rsidP="007F1307">
      <w:pPr>
        <w:pStyle w:val="ListParagraph"/>
        <w:ind w:left="2847"/>
        <w:rPr>
          <w:rFonts w:cs="Arial"/>
          <w:szCs w:val="22"/>
        </w:rPr>
      </w:pPr>
    </w:p>
    <w:p w14:paraId="3894E0D7" w14:textId="77777777" w:rsidR="008777FC" w:rsidRPr="00E97956" w:rsidRDefault="008777FC" w:rsidP="00E97956">
      <w:pPr>
        <w:pStyle w:val="ListParagraph"/>
        <w:numPr>
          <w:ilvl w:val="2"/>
          <w:numId w:val="2"/>
        </w:numPr>
        <w:ind w:left="1350" w:hanging="720"/>
        <w:rPr>
          <w:rFonts w:cs="Arial"/>
          <w:szCs w:val="22"/>
        </w:rPr>
      </w:pPr>
      <w:r w:rsidRPr="00E97956">
        <w:rPr>
          <w:rFonts w:eastAsia="Calibri" w:cs="Arial"/>
          <w:bCs/>
          <w:color w:val="000000"/>
          <w:szCs w:val="22"/>
          <w:lang w:eastAsia="en-US"/>
        </w:rPr>
        <w:t>The recall strategy should address the following issues per</w:t>
      </w:r>
      <w:r w:rsidRPr="00E97956">
        <w:rPr>
          <w:rFonts w:eastAsia="Calibri" w:cs="Arial"/>
          <w:bCs/>
          <w:i/>
          <w:color w:val="000000"/>
          <w:szCs w:val="22"/>
          <w:lang w:eastAsia="en-US"/>
        </w:rPr>
        <w:t xml:space="preserve"> 21 CFR, Part 7.42, Recall Strategy:</w:t>
      </w:r>
    </w:p>
    <w:p w14:paraId="428257F2" w14:textId="77777777" w:rsidR="008777FC" w:rsidRPr="00E97956" w:rsidRDefault="008777FC" w:rsidP="00E97956">
      <w:pPr>
        <w:pStyle w:val="ListParagraph"/>
        <w:numPr>
          <w:ilvl w:val="0"/>
          <w:numId w:val="20"/>
        </w:numPr>
        <w:rPr>
          <w:rFonts w:eastAsia="Calibri" w:cs="Arial"/>
          <w:color w:val="000000"/>
          <w:szCs w:val="22"/>
          <w:lang w:eastAsia="en-US"/>
        </w:rPr>
      </w:pPr>
      <w:r w:rsidRPr="00E97956">
        <w:rPr>
          <w:rFonts w:eastAsia="Calibri" w:cs="Arial"/>
          <w:bCs/>
          <w:color w:val="000000"/>
          <w:szCs w:val="22"/>
          <w:lang w:eastAsia="en-US"/>
        </w:rPr>
        <w:t>Depth of the recall</w:t>
      </w:r>
    </w:p>
    <w:p w14:paraId="1D74AF77" w14:textId="77777777" w:rsidR="008777FC" w:rsidRPr="00E97956" w:rsidRDefault="008777FC" w:rsidP="00E97956">
      <w:pPr>
        <w:pStyle w:val="ListParagraph"/>
        <w:numPr>
          <w:ilvl w:val="0"/>
          <w:numId w:val="20"/>
        </w:numPr>
        <w:rPr>
          <w:rFonts w:cs="Arial"/>
          <w:szCs w:val="22"/>
        </w:rPr>
      </w:pPr>
      <w:r w:rsidRPr="00E97956">
        <w:rPr>
          <w:rFonts w:eastAsia="Calibri" w:cs="Arial"/>
          <w:bCs/>
          <w:color w:val="000000"/>
          <w:szCs w:val="22"/>
          <w:lang w:eastAsia="en-US"/>
        </w:rPr>
        <w:t>The recall communication to notify the user which should contain the following:</w:t>
      </w:r>
    </w:p>
    <w:p w14:paraId="207C25D3" w14:textId="77777777" w:rsidR="008777FC" w:rsidRPr="00E97956" w:rsidRDefault="008777FC" w:rsidP="00E97956">
      <w:pPr>
        <w:pStyle w:val="ListParagraph"/>
        <w:numPr>
          <w:ilvl w:val="1"/>
          <w:numId w:val="20"/>
        </w:numPr>
        <w:rPr>
          <w:rFonts w:eastAsia="Calibri" w:cs="Arial"/>
          <w:color w:val="000000"/>
          <w:szCs w:val="22"/>
          <w:lang w:eastAsia="en-US"/>
        </w:rPr>
      </w:pPr>
      <w:r w:rsidRPr="00E97956">
        <w:rPr>
          <w:rFonts w:eastAsia="Calibri" w:cs="Arial"/>
          <w:bCs/>
          <w:color w:val="000000"/>
          <w:szCs w:val="22"/>
          <w:lang w:eastAsia="en-US"/>
        </w:rPr>
        <w:t>Product name</w:t>
      </w:r>
    </w:p>
    <w:p w14:paraId="55C3CEF7" w14:textId="77777777" w:rsidR="008777FC" w:rsidRPr="00E97956" w:rsidRDefault="008777FC" w:rsidP="00E97956">
      <w:pPr>
        <w:pStyle w:val="ListParagraph"/>
        <w:numPr>
          <w:ilvl w:val="1"/>
          <w:numId w:val="20"/>
        </w:numPr>
        <w:rPr>
          <w:rFonts w:eastAsia="Calibri" w:cs="Arial"/>
          <w:color w:val="000000"/>
          <w:szCs w:val="22"/>
          <w:lang w:eastAsia="en-US"/>
        </w:rPr>
      </w:pPr>
      <w:r w:rsidRPr="00E97956">
        <w:rPr>
          <w:rFonts w:eastAsia="Calibri" w:cs="Arial"/>
          <w:bCs/>
          <w:color w:val="000000"/>
          <w:szCs w:val="22"/>
          <w:lang w:eastAsia="en-US"/>
        </w:rPr>
        <w:t>Lot number</w:t>
      </w:r>
    </w:p>
    <w:p w14:paraId="53E7C63A" w14:textId="77777777" w:rsidR="008777FC" w:rsidRPr="00E97956" w:rsidRDefault="008777FC" w:rsidP="00E97956">
      <w:pPr>
        <w:pStyle w:val="ListParagraph"/>
        <w:numPr>
          <w:ilvl w:val="1"/>
          <w:numId w:val="20"/>
        </w:numPr>
        <w:rPr>
          <w:rFonts w:eastAsia="Calibri" w:cs="Arial"/>
          <w:color w:val="000000"/>
          <w:szCs w:val="22"/>
          <w:lang w:eastAsia="en-US"/>
        </w:rPr>
      </w:pPr>
      <w:r w:rsidRPr="00E97956">
        <w:rPr>
          <w:rFonts w:eastAsia="Calibri" w:cs="Arial"/>
          <w:bCs/>
          <w:color w:val="000000"/>
          <w:szCs w:val="22"/>
          <w:lang w:eastAsia="en-US"/>
        </w:rPr>
        <w:t>Part number</w:t>
      </w:r>
    </w:p>
    <w:p w14:paraId="11A4ED55" w14:textId="77777777" w:rsidR="002B6C2E" w:rsidRPr="00E97956" w:rsidRDefault="002B6C2E" w:rsidP="00E97956">
      <w:pPr>
        <w:pStyle w:val="ListParagraph"/>
        <w:numPr>
          <w:ilvl w:val="1"/>
          <w:numId w:val="20"/>
        </w:numPr>
        <w:rPr>
          <w:rFonts w:eastAsia="Calibri" w:cs="Arial"/>
          <w:color w:val="000000"/>
          <w:szCs w:val="22"/>
          <w:lang w:eastAsia="en-US"/>
        </w:rPr>
      </w:pPr>
      <w:r w:rsidRPr="00E97956">
        <w:rPr>
          <w:rFonts w:cs="Arial"/>
          <w:szCs w:val="22"/>
        </w:rPr>
        <w:t xml:space="preserve">Unique Device Identifier (UDI) that appears on the device label or on the device package </w:t>
      </w:r>
    </w:p>
    <w:p w14:paraId="7DAC7981" w14:textId="7F31A0CE" w:rsidR="008777FC" w:rsidRPr="00E97956" w:rsidRDefault="008777FC" w:rsidP="00E97956">
      <w:pPr>
        <w:pStyle w:val="ListParagraph"/>
        <w:numPr>
          <w:ilvl w:val="1"/>
          <w:numId w:val="20"/>
        </w:numPr>
        <w:rPr>
          <w:rFonts w:eastAsia="Calibri" w:cs="Arial"/>
          <w:color w:val="000000"/>
          <w:szCs w:val="22"/>
          <w:lang w:eastAsia="en-US"/>
        </w:rPr>
      </w:pPr>
      <w:r w:rsidRPr="00E97956">
        <w:rPr>
          <w:rFonts w:eastAsia="Calibri" w:cs="Arial"/>
          <w:bCs/>
          <w:color w:val="000000"/>
          <w:szCs w:val="22"/>
          <w:lang w:eastAsia="en-US"/>
        </w:rPr>
        <w:t>The reason for the recall and the hazard involved</w:t>
      </w:r>
    </w:p>
    <w:p w14:paraId="5CBE5348" w14:textId="77777777" w:rsidR="008777FC" w:rsidRPr="00E97956" w:rsidRDefault="008777FC" w:rsidP="00E97956">
      <w:pPr>
        <w:pStyle w:val="ListParagraph"/>
        <w:numPr>
          <w:ilvl w:val="1"/>
          <w:numId w:val="20"/>
        </w:numPr>
        <w:rPr>
          <w:rFonts w:eastAsia="Calibri" w:cs="Arial"/>
          <w:color w:val="000000"/>
          <w:szCs w:val="22"/>
          <w:lang w:eastAsia="en-US"/>
        </w:rPr>
      </w:pPr>
      <w:r w:rsidRPr="00E97956">
        <w:rPr>
          <w:rFonts w:eastAsia="Calibri" w:cs="Arial"/>
          <w:bCs/>
          <w:color w:val="000000"/>
          <w:szCs w:val="22"/>
          <w:lang w:eastAsia="en-US"/>
        </w:rPr>
        <w:t>Specific instructions on what to do</w:t>
      </w:r>
    </w:p>
    <w:p w14:paraId="376F21C6" w14:textId="5D2EF93C" w:rsidR="008777FC" w:rsidRPr="00E97956" w:rsidRDefault="008777FC" w:rsidP="00E97956">
      <w:pPr>
        <w:pStyle w:val="ListParagraph"/>
        <w:numPr>
          <w:ilvl w:val="1"/>
          <w:numId w:val="20"/>
        </w:numPr>
        <w:rPr>
          <w:rFonts w:eastAsia="Calibri" w:cs="Arial"/>
          <w:color w:val="000000"/>
          <w:szCs w:val="22"/>
          <w:lang w:eastAsia="en-US"/>
        </w:rPr>
      </w:pPr>
      <w:r w:rsidRPr="00E97956">
        <w:rPr>
          <w:rFonts w:eastAsia="Calibri" w:cs="Arial"/>
          <w:bCs/>
          <w:color w:val="000000"/>
          <w:szCs w:val="22"/>
          <w:lang w:eastAsia="en-US"/>
        </w:rPr>
        <w:t xml:space="preserve">Enclose a means for the user to report to the recalling firm whether it has any of the </w:t>
      </w:r>
      <w:r w:rsidR="00A57BDA" w:rsidRPr="00E97956">
        <w:rPr>
          <w:rFonts w:eastAsia="Calibri" w:cs="Arial"/>
          <w:bCs/>
          <w:color w:val="000000"/>
          <w:szCs w:val="22"/>
          <w:lang w:eastAsia="en-US"/>
        </w:rPr>
        <w:t>products</w:t>
      </w:r>
      <w:r w:rsidRPr="00E97956">
        <w:rPr>
          <w:rFonts w:eastAsia="Calibri" w:cs="Arial"/>
          <w:bCs/>
          <w:color w:val="000000"/>
          <w:szCs w:val="22"/>
          <w:lang w:eastAsia="en-US"/>
        </w:rPr>
        <w:t xml:space="preserve"> (i.e. postcard, fax number, telephone number, etc.)</w:t>
      </w:r>
    </w:p>
    <w:p w14:paraId="6E1C4EBB" w14:textId="77777777" w:rsidR="00E97956" w:rsidRPr="00E97956" w:rsidRDefault="00E97956" w:rsidP="00E97956">
      <w:pPr>
        <w:pStyle w:val="ListParagraph"/>
        <w:ind w:left="3567"/>
        <w:rPr>
          <w:rFonts w:eastAsia="Calibri" w:cs="Arial"/>
          <w:color w:val="000000"/>
          <w:szCs w:val="22"/>
          <w:lang w:eastAsia="en-US"/>
        </w:rPr>
      </w:pPr>
    </w:p>
    <w:p w14:paraId="00C8B8C7" w14:textId="689D9C94" w:rsidR="00D60507" w:rsidRPr="007F1307" w:rsidRDefault="00D60507" w:rsidP="00E97956">
      <w:pPr>
        <w:pStyle w:val="ListParagraph"/>
        <w:numPr>
          <w:ilvl w:val="2"/>
          <w:numId w:val="2"/>
        </w:numPr>
        <w:ind w:left="1260" w:hanging="810"/>
        <w:rPr>
          <w:rFonts w:cs="Arial"/>
          <w:szCs w:val="22"/>
        </w:rPr>
      </w:pPr>
      <w:r>
        <w:rPr>
          <w:rFonts w:cs="Arial"/>
          <w:szCs w:val="22"/>
          <w:u w:val="single"/>
        </w:rPr>
        <w:t xml:space="preserve">In the event of a field action, order traceability is maintained throughout the duration of the product’s life by linking the GT Medical order number with the contract manufacturer’s order number in the order management software. </w:t>
      </w:r>
    </w:p>
    <w:p w14:paraId="018CD70D" w14:textId="77777777" w:rsidR="002D1E99" w:rsidRPr="00D60507" w:rsidRDefault="002D1E99" w:rsidP="007F1307">
      <w:pPr>
        <w:pStyle w:val="ListParagraph"/>
        <w:ind w:left="1260"/>
        <w:rPr>
          <w:rFonts w:cs="Arial"/>
          <w:szCs w:val="22"/>
        </w:rPr>
      </w:pPr>
    </w:p>
    <w:p w14:paraId="796317F6" w14:textId="20A1F88B" w:rsidR="008777FC" w:rsidRDefault="00AF467F" w:rsidP="00E97956">
      <w:pPr>
        <w:pStyle w:val="ListParagraph"/>
        <w:numPr>
          <w:ilvl w:val="2"/>
          <w:numId w:val="2"/>
        </w:numPr>
        <w:ind w:left="1260" w:hanging="810"/>
        <w:rPr>
          <w:rFonts w:cs="Arial"/>
          <w:szCs w:val="22"/>
        </w:rPr>
      </w:pPr>
      <w:r w:rsidRPr="00E97956">
        <w:rPr>
          <w:rFonts w:cs="Arial"/>
          <w:szCs w:val="22"/>
          <w:u w:val="single"/>
        </w:rPr>
        <w:t>Recall Effectiveness Check:</w:t>
      </w:r>
      <w:r w:rsidRPr="00E97956">
        <w:rPr>
          <w:rFonts w:cs="Arial"/>
          <w:szCs w:val="22"/>
        </w:rPr>
        <w:t xml:space="preserve"> </w:t>
      </w:r>
      <w:r w:rsidR="008777FC" w:rsidRPr="00E97956">
        <w:rPr>
          <w:rFonts w:cs="Arial"/>
          <w:szCs w:val="22"/>
        </w:rPr>
        <w:t>The means to verify that all consignees have received notification (registered mailing) and the level of effectiveness checks that have been conducted (second mailing, telephone call). Refer to “</w:t>
      </w:r>
      <w:r w:rsidR="008777FC" w:rsidRPr="00E97956">
        <w:rPr>
          <w:rFonts w:cs="Arial"/>
          <w:i/>
          <w:szCs w:val="22"/>
        </w:rPr>
        <w:t>Methods for Conducting Recall Effectiveness Checks” – FDA, June 16, 1978</w:t>
      </w:r>
      <w:r w:rsidR="008777FC" w:rsidRPr="00E97956">
        <w:rPr>
          <w:rFonts w:cs="Arial"/>
          <w:szCs w:val="22"/>
        </w:rPr>
        <w:t>.</w:t>
      </w:r>
    </w:p>
    <w:p w14:paraId="1AF1A4F2" w14:textId="77777777" w:rsidR="00E97956" w:rsidRPr="00E97956" w:rsidRDefault="00E97956" w:rsidP="00E97956">
      <w:pPr>
        <w:pStyle w:val="ListParagraph"/>
        <w:ind w:left="1260"/>
        <w:rPr>
          <w:rFonts w:cs="Arial"/>
          <w:szCs w:val="22"/>
        </w:rPr>
      </w:pPr>
    </w:p>
    <w:p w14:paraId="699B283C" w14:textId="3D506AE1" w:rsidR="008777FC" w:rsidRPr="00E97956" w:rsidRDefault="00AF467F" w:rsidP="00E97956">
      <w:pPr>
        <w:pStyle w:val="ListParagraph"/>
        <w:numPr>
          <w:ilvl w:val="2"/>
          <w:numId w:val="2"/>
        </w:numPr>
        <w:ind w:left="1260" w:hanging="810"/>
        <w:rPr>
          <w:rFonts w:cs="Arial"/>
          <w:szCs w:val="22"/>
        </w:rPr>
      </w:pPr>
      <w:r w:rsidRPr="00E97956">
        <w:rPr>
          <w:rFonts w:cs="Arial"/>
          <w:szCs w:val="22"/>
          <w:u w:val="single"/>
        </w:rPr>
        <w:t>Communicating with the FDA:</w:t>
      </w:r>
      <w:r w:rsidRPr="00E97956">
        <w:rPr>
          <w:rFonts w:cs="Arial"/>
          <w:szCs w:val="22"/>
        </w:rPr>
        <w:t xml:space="preserve"> </w:t>
      </w:r>
      <w:r w:rsidR="008777FC" w:rsidRPr="00E97956">
        <w:rPr>
          <w:rFonts w:cs="Arial"/>
          <w:szCs w:val="22"/>
        </w:rPr>
        <w:t>The FDA is to be notified and the following information supplied:</w:t>
      </w:r>
    </w:p>
    <w:p w14:paraId="006366FC" w14:textId="77777777" w:rsidR="008777FC" w:rsidRPr="00E97956" w:rsidRDefault="008777FC" w:rsidP="00E97956">
      <w:pPr>
        <w:pStyle w:val="ListParagraph"/>
        <w:numPr>
          <w:ilvl w:val="0"/>
          <w:numId w:val="26"/>
        </w:numPr>
        <w:ind w:left="2844"/>
        <w:rPr>
          <w:rFonts w:eastAsia="Calibri" w:cs="Arial"/>
          <w:color w:val="000000"/>
          <w:szCs w:val="22"/>
          <w:lang w:eastAsia="en-US"/>
        </w:rPr>
      </w:pPr>
      <w:r w:rsidRPr="00E97956">
        <w:rPr>
          <w:rFonts w:eastAsia="Calibri" w:cs="Arial"/>
          <w:bCs/>
          <w:color w:val="000000"/>
          <w:szCs w:val="22"/>
          <w:lang w:eastAsia="en-US"/>
        </w:rPr>
        <w:t>Copy of Customer Notification Letter</w:t>
      </w:r>
    </w:p>
    <w:p w14:paraId="00727538" w14:textId="15B0A934" w:rsidR="008777FC" w:rsidRPr="00E97956" w:rsidRDefault="008777FC" w:rsidP="00E97956">
      <w:pPr>
        <w:pStyle w:val="ListParagraph"/>
        <w:numPr>
          <w:ilvl w:val="0"/>
          <w:numId w:val="26"/>
        </w:numPr>
        <w:ind w:left="2844"/>
        <w:rPr>
          <w:rFonts w:eastAsia="Calibri" w:cs="Arial"/>
          <w:color w:val="000000"/>
          <w:szCs w:val="22"/>
          <w:lang w:eastAsia="en-US"/>
        </w:rPr>
      </w:pPr>
      <w:r w:rsidRPr="00E97956">
        <w:rPr>
          <w:rFonts w:eastAsia="Calibri" w:cs="Arial"/>
          <w:bCs/>
          <w:color w:val="000000"/>
          <w:szCs w:val="22"/>
          <w:lang w:eastAsia="en-US"/>
        </w:rPr>
        <w:t xml:space="preserve">Copy of Instructions </w:t>
      </w:r>
      <w:r w:rsidR="007D2A69" w:rsidRPr="00E97956">
        <w:rPr>
          <w:rFonts w:eastAsia="Calibri" w:cs="Arial"/>
          <w:bCs/>
          <w:color w:val="000000"/>
          <w:szCs w:val="22"/>
          <w:lang w:eastAsia="en-US"/>
        </w:rPr>
        <w:t>f</w:t>
      </w:r>
      <w:r w:rsidRPr="00E97956">
        <w:rPr>
          <w:rFonts w:eastAsia="Calibri" w:cs="Arial"/>
          <w:bCs/>
          <w:color w:val="000000"/>
          <w:szCs w:val="22"/>
          <w:lang w:eastAsia="en-US"/>
        </w:rPr>
        <w:t>or Use (IFU)</w:t>
      </w:r>
    </w:p>
    <w:p w14:paraId="42078424" w14:textId="77777777" w:rsidR="008777FC" w:rsidRPr="00E97956" w:rsidRDefault="008777FC" w:rsidP="00E97956">
      <w:pPr>
        <w:pStyle w:val="ListParagraph"/>
        <w:numPr>
          <w:ilvl w:val="0"/>
          <w:numId w:val="26"/>
        </w:numPr>
        <w:ind w:left="2844"/>
        <w:rPr>
          <w:rFonts w:eastAsia="Calibri" w:cs="Arial"/>
          <w:color w:val="000000"/>
          <w:szCs w:val="22"/>
          <w:lang w:eastAsia="en-US"/>
        </w:rPr>
      </w:pPr>
      <w:r w:rsidRPr="00E97956">
        <w:rPr>
          <w:rFonts w:eastAsia="Calibri" w:cs="Arial"/>
          <w:bCs/>
          <w:color w:val="000000"/>
          <w:szCs w:val="22"/>
          <w:lang w:eastAsia="en-US"/>
        </w:rPr>
        <w:t>Device labels, all levels (Current and those to be used for reconditioning, if applicable</w:t>
      </w:r>
    </w:p>
    <w:p w14:paraId="35653408" w14:textId="77777777" w:rsidR="008777FC" w:rsidRPr="00E97956" w:rsidRDefault="008777FC" w:rsidP="00E97956">
      <w:pPr>
        <w:pStyle w:val="ListParagraph"/>
        <w:numPr>
          <w:ilvl w:val="0"/>
          <w:numId w:val="26"/>
        </w:numPr>
        <w:ind w:left="2844"/>
        <w:rPr>
          <w:rFonts w:eastAsia="Calibri" w:cs="Arial"/>
          <w:color w:val="000000"/>
          <w:szCs w:val="22"/>
          <w:lang w:eastAsia="en-US"/>
        </w:rPr>
      </w:pPr>
      <w:r w:rsidRPr="00E97956">
        <w:rPr>
          <w:rFonts w:eastAsia="Calibri" w:cs="Arial"/>
          <w:bCs/>
          <w:color w:val="000000"/>
          <w:szCs w:val="22"/>
          <w:lang w:eastAsia="en-US"/>
        </w:rPr>
        <w:t xml:space="preserve">Official </w:t>
      </w:r>
      <w:r w:rsidRPr="00E97956">
        <w:rPr>
          <w:rFonts w:eastAsia="Calibri" w:cs="Arial"/>
          <w:bCs/>
          <w:i/>
          <w:color w:val="000000"/>
          <w:szCs w:val="22"/>
          <w:lang w:eastAsia="en-US"/>
        </w:rPr>
        <w:t>21 CFR 806.10</w:t>
      </w:r>
      <w:r w:rsidRPr="00E97956">
        <w:rPr>
          <w:rFonts w:eastAsia="Calibri" w:cs="Arial"/>
          <w:bCs/>
          <w:color w:val="000000"/>
          <w:szCs w:val="22"/>
          <w:lang w:eastAsia="en-US"/>
        </w:rPr>
        <w:t xml:space="preserve"> Report and Health/Risk Assessment per </w:t>
      </w:r>
      <w:r w:rsidRPr="00E97956">
        <w:rPr>
          <w:rFonts w:eastAsia="Calibri" w:cs="Arial"/>
          <w:bCs/>
          <w:i/>
          <w:color w:val="000000"/>
          <w:szCs w:val="22"/>
          <w:lang w:eastAsia="en-US"/>
        </w:rPr>
        <w:t>21 CFR 7.41</w:t>
      </w:r>
    </w:p>
    <w:p w14:paraId="0689D866" w14:textId="77777777" w:rsidR="008777FC" w:rsidRPr="00E97956" w:rsidRDefault="008777FC" w:rsidP="00E97956">
      <w:pPr>
        <w:pStyle w:val="ListParagraph"/>
        <w:numPr>
          <w:ilvl w:val="0"/>
          <w:numId w:val="26"/>
        </w:numPr>
        <w:ind w:left="2844"/>
        <w:rPr>
          <w:rFonts w:eastAsia="Calibri" w:cs="Arial"/>
          <w:color w:val="000000"/>
          <w:szCs w:val="22"/>
          <w:lang w:eastAsia="en-US"/>
        </w:rPr>
      </w:pPr>
      <w:r w:rsidRPr="00E97956">
        <w:rPr>
          <w:rFonts w:eastAsia="Calibri" w:cs="Arial"/>
          <w:bCs/>
          <w:color w:val="000000"/>
          <w:szCs w:val="22"/>
          <w:lang w:eastAsia="en-US"/>
        </w:rPr>
        <w:t>Distribution List</w:t>
      </w:r>
    </w:p>
    <w:p w14:paraId="713F6B16" w14:textId="77777777" w:rsidR="008777FC" w:rsidRPr="00E97956" w:rsidRDefault="008777FC" w:rsidP="00E97956">
      <w:pPr>
        <w:pStyle w:val="ListParagraph"/>
        <w:numPr>
          <w:ilvl w:val="0"/>
          <w:numId w:val="26"/>
        </w:numPr>
        <w:ind w:left="2844"/>
        <w:rPr>
          <w:rFonts w:eastAsia="Calibri" w:cs="Arial"/>
          <w:color w:val="000000"/>
          <w:szCs w:val="22"/>
          <w:lang w:eastAsia="en-US"/>
        </w:rPr>
      </w:pPr>
      <w:r w:rsidRPr="00E97956">
        <w:rPr>
          <w:rFonts w:eastAsia="Calibri" w:cs="Arial"/>
          <w:bCs/>
          <w:color w:val="000000"/>
          <w:szCs w:val="22"/>
          <w:lang w:eastAsia="en-US"/>
        </w:rPr>
        <w:t xml:space="preserve">Items stated as required in FDA Guidance </w:t>
      </w:r>
      <w:r w:rsidRPr="00E97956">
        <w:rPr>
          <w:rFonts w:eastAsia="Calibri" w:cs="Arial"/>
          <w:bCs/>
          <w:i/>
          <w:color w:val="000000"/>
          <w:szCs w:val="22"/>
          <w:lang w:eastAsia="en-US"/>
        </w:rPr>
        <w:t>“Documents and Information Required by FDA for Device Recall/Field Corrections”</w:t>
      </w:r>
    </w:p>
    <w:p w14:paraId="28FC2760" w14:textId="77777777" w:rsidR="008777FC" w:rsidRPr="00E97956" w:rsidRDefault="008777FC" w:rsidP="00E97956">
      <w:pPr>
        <w:pStyle w:val="ListParagraph"/>
        <w:numPr>
          <w:ilvl w:val="0"/>
          <w:numId w:val="26"/>
        </w:numPr>
        <w:ind w:left="2844"/>
        <w:rPr>
          <w:rFonts w:eastAsia="Calibri" w:cs="Arial"/>
          <w:color w:val="000000"/>
          <w:szCs w:val="22"/>
          <w:lang w:eastAsia="en-US"/>
        </w:rPr>
      </w:pPr>
      <w:r w:rsidRPr="00E97956">
        <w:rPr>
          <w:rFonts w:eastAsia="Calibri" w:cs="Arial"/>
          <w:bCs/>
          <w:color w:val="000000"/>
          <w:szCs w:val="22"/>
          <w:lang w:eastAsia="en-US"/>
        </w:rPr>
        <w:t xml:space="preserve">Health Hazard Evaluation (HHE) Form </w:t>
      </w:r>
    </w:p>
    <w:p w14:paraId="6C7F556E" w14:textId="77777777" w:rsidR="008777FC" w:rsidRPr="00E97956" w:rsidRDefault="008777FC" w:rsidP="00E97956">
      <w:pPr>
        <w:pStyle w:val="ListParagraph"/>
        <w:numPr>
          <w:ilvl w:val="0"/>
          <w:numId w:val="26"/>
        </w:numPr>
        <w:ind w:left="2844"/>
        <w:rPr>
          <w:rFonts w:cs="Arial"/>
          <w:szCs w:val="22"/>
        </w:rPr>
      </w:pPr>
      <w:r w:rsidRPr="00E97956">
        <w:rPr>
          <w:rFonts w:eastAsia="Calibri" w:cs="Arial"/>
          <w:bCs/>
          <w:color w:val="000000"/>
          <w:szCs w:val="22"/>
          <w:lang w:eastAsia="en-US"/>
        </w:rPr>
        <w:t>This form can be obtained from the following website:</w:t>
      </w:r>
    </w:p>
    <w:p w14:paraId="6EDB293C" w14:textId="43519834" w:rsidR="008777FC" w:rsidRDefault="00DA5C7E" w:rsidP="00E97956">
      <w:pPr>
        <w:pStyle w:val="ListParagraph"/>
        <w:ind w:left="2498"/>
        <w:rPr>
          <w:rFonts w:eastAsia="Calibri" w:cs="Arial"/>
          <w:bCs/>
          <w:color w:val="0000FF"/>
          <w:szCs w:val="22"/>
          <w:u w:val="single"/>
          <w:lang w:eastAsia="en-US"/>
        </w:rPr>
      </w:pPr>
      <w:hyperlink r:id="rId9" w:history="1">
        <w:r w:rsidR="008777FC" w:rsidRPr="00E97956">
          <w:rPr>
            <w:rFonts w:eastAsia="Calibri" w:cs="Arial"/>
            <w:bCs/>
            <w:color w:val="0000FF"/>
            <w:szCs w:val="22"/>
            <w:u w:val="single"/>
            <w:lang w:eastAsia="en-US"/>
          </w:rPr>
          <w:t>http://www.fda.gov/downloads/MedicalDevices/DeviceRegulationandGuidance/IVDRegulatoryAssistance/UCM126211.doc</w:t>
        </w:r>
      </w:hyperlink>
    </w:p>
    <w:p w14:paraId="2C48D6E3" w14:textId="77777777" w:rsidR="00E97956" w:rsidRPr="00E97956" w:rsidRDefault="00E97956" w:rsidP="00E97956">
      <w:pPr>
        <w:rPr>
          <w:rFonts w:eastAsia="Calibri" w:cs="Arial"/>
          <w:bCs/>
          <w:color w:val="0000FF"/>
          <w:szCs w:val="22"/>
          <w:u w:val="single"/>
          <w:lang w:eastAsia="en-US"/>
        </w:rPr>
      </w:pPr>
    </w:p>
    <w:p w14:paraId="68C9C8C6" w14:textId="03489F69" w:rsidR="008777FC" w:rsidRPr="00E97956" w:rsidRDefault="008777FC" w:rsidP="00E97956">
      <w:pPr>
        <w:pStyle w:val="ListParagraph"/>
        <w:numPr>
          <w:ilvl w:val="2"/>
          <w:numId w:val="2"/>
        </w:numPr>
        <w:ind w:left="1350" w:hanging="810"/>
        <w:rPr>
          <w:rFonts w:cs="Arial"/>
          <w:szCs w:val="22"/>
        </w:rPr>
      </w:pPr>
      <w:r w:rsidRPr="00E97956">
        <w:rPr>
          <w:rFonts w:eastAsia="Calibri" w:cs="Arial"/>
          <w:bCs/>
          <w:color w:val="000000"/>
          <w:szCs w:val="22"/>
          <w:lang w:eastAsia="en-US"/>
        </w:rPr>
        <w:t>Recall status reports are to be prepared and given to the FDA every two or four weeks.</w:t>
      </w:r>
      <w:r w:rsidR="00C80460" w:rsidRPr="00E97956">
        <w:rPr>
          <w:rFonts w:eastAsia="Calibri" w:cs="Arial"/>
          <w:bCs/>
          <w:color w:val="000000"/>
          <w:szCs w:val="22"/>
          <w:lang w:eastAsia="en-US"/>
        </w:rPr>
        <w:t xml:space="preserve"> </w:t>
      </w:r>
      <w:r w:rsidRPr="00E97956">
        <w:rPr>
          <w:rFonts w:eastAsia="Calibri" w:cs="Arial"/>
          <w:bCs/>
          <w:color w:val="000000"/>
          <w:szCs w:val="22"/>
          <w:lang w:eastAsia="en-US"/>
        </w:rPr>
        <w:t>The report shall contain the following:</w:t>
      </w:r>
    </w:p>
    <w:p w14:paraId="20283603" w14:textId="77777777" w:rsidR="008777FC" w:rsidRPr="00E97956" w:rsidRDefault="008777FC" w:rsidP="00E97956">
      <w:pPr>
        <w:pStyle w:val="ListParagraph"/>
        <w:numPr>
          <w:ilvl w:val="0"/>
          <w:numId w:val="31"/>
        </w:numPr>
        <w:ind w:left="2844"/>
        <w:rPr>
          <w:rFonts w:eastAsia="Calibri" w:cs="Arial"/>
          <w:color w:val="000000"/>
          <w:szCs w:val="22"/>
          <w:lang w:eastAsia="en-US"/>
        </w:rPr>
      </w:pPr>
      <w:r w:rsidRPr="00E97956">
        <w:rPr>
          <w:rFonts w:eastAsia="Calibri" w:cs="Arial"/>
          <w:bCs/>
          <w:color w:val="000000"/>
          <w:szCs w:val="22"/>
          <w:lang w:eastAsia="en-US"/>
        </w:rPr>
        <w:t>Number of consignees notified, the date notified, and the method of notification</w:t>
      </w:r>
    </w:p>
    <w:p w14:paraId="41ACE203" w14:textId="77777777" w:rsidR="008777FC" w:rsidRPr="00E97956" w:rsidRDefault="008777FC" w:rsidP="00E97956">
      <w:pPr>
        <w:numPr>
          <w:ilvl w:val="0"/>
          <w:numId w:val="30"/>
        </w:numPr>
        <w:ind w:left="2841"/>
        <w:rPr>
          <w:rFonts w:eastAsia="Calibri" w:cs="Arial"/>
          <w:color w:val="000000"/>
          <w:szCs w:val="22"/>
          <w:lang w:eastAsia="en-US"/>
        </w:rPr>
      </w:pPr>
      <w:r w:rsidRPr="00E97956">
        <w:rPr>
          <w:rFonts w:eastAsia="Calibri" w:cs="Arial"/>
          <w:bCs/>
          <w:color w:val="000000"/>
          <w:szCs w:val="22"/>
          <w:lang w:eastAsia="en-US"/>
        </w:rPr>
        <w:t>Number of consignees responding to the recall communication and quantity of products on hand</w:t>
      </w:r>
    </w:p>
    <w:p w14:paraId="20676D86" w14:textId="77777777" w:rsidR="008777FC" w:rsidRPr="00E97956" w:rsidRDefault="008777FC" w:rsidP="00E97956">
      <w:pPr>
        <w:numPr>
          <w:ilvl w:val="0"/>
          <w:numId w:val="30"/>
        </w:numPr>
        <w:ind w:left="2841"/>
        <w:rPr>
          <w:rFonts w:eastAsia="Calibri" w:cs="Arial"/>
          <w:color w:val="000000"/>
          <w:szCs w:val="22"/>
          <w:lang w:eastAsia="en-US"/>
        </w:rPr>
      </w:pPr>
      <w:r w:rsidRPr="00E97956">
        <w:rPr>
          <w:rFonts w:eastAsia="Calibri" w:cs="Arial"/>
          <w:bCs/>
          <w:color w:val="000000"/>
          <w:szCs w:val="22"/>
          <w:lang w:eastAsia="en-US"/>
        </w:rPr>
        <w:t>Number of products returned or corrected by each consignee and the quantity of product accounted for</w:t>
      </w:r>
    </w:p>
    <w:p w14:paraId="3AE17EC1" w14:textId="77777777" w:rsidR="008777FC" w:rsidRPr="00E97956" w:rsidRDefault="008777FC" w:rsidP="00E97956">
      <w:pPr>
        <w:numPr>
          <w:ilvl w:val="0"/>
          <w:numId w:val="30"/>
        </w:numPr>
        <w:ind w:left="2841"/>
        <w:rPr>
          <w:rFonts w:eastAsia="Calibri" w:cs="Arial"/>
          <w:color w:val="000000"/>
          <w:szCs w:val="22"/>
          <w:lang w:eastAsia="en-US"/>
        </w:rPr>
      </w:pPr>
      <w:r w:rsidRPr="00E97956">
        <w:rPr>
          <w:rFonts w:eastAsia="Calibri" w:cs="Arial"/>
          <w:bCs/>
          <w:color w:val="000000"/>
          <w:szCs w:val="22"/>
          <w:lang w:eastAsia="en-US"/>
        </w:rPr>
        <w:t>Number and result of effectiveness checks made</w:t>
      </w:r>
    </w:p>
    <w:p w14:paraId="77C87A1E" w14:textId="77777777" w:rsidR="008777FC" w:rsidRPr="00E97956" w:rsidRDefault="008777FC" w:rsidP="00E97956">
      <w:pPr>
        <w:numPr>
          <w:ilvl w:val="0"/>
          <w:numId w:val="30"/>
        </w:numPr>
        <w:ind w:left="2841"/>
        <w:rPr>
          <w:rFonts w:eastAsia="Calibri" w:cs="Arial"/>
          <w:color w:val="000000"/>
          <w:szCs w:val="22"/>
          <w:lang w:eastAsia="en-US"/>
        </w:rPr>
      </w:pPr>
      <w:r w:rsidRPr="00E97956">
        <w:rPr>
          <w:rFonts w:eastAsia="Calibri" w:cs="Arial"/>
          <w:bCs/>
          <w:color w:val="000000"/>
          <w:szCs w:val="22"/>
          <w:lang w:eastAsia="en-US"/>
        </w:rPr>
        <w:t>Estimated time frame for completion of recall</w:t>
      </w:r>
    </w:p>
    <w:p w14:paraId="1B33217A" w14:textId="0256E89E" w:rsidR="008777FC" w:rsidRPr="00E97956" w:rsidRDefault="008777FC" w:rsidP="00E97956">
      <w:pPr>
        <w:numPr>
          <w:ilvl w:val="0"/>
          <w:numId w:val="30"/>
        </w:numPr>
        <w:ind w:left="2841"/>
        <w:rPr>
          <w:rFonts w:eastAsia="Calibri" w:cs="Arial"/>
          <w:color w:val="000000"/>
          <w:szCs w:val="22"/>
          <w:lang w:eastAsia="en-US"/>
        </w:rPr>
      </w:pPr>
      <w:r w:rsidRPr="00E97956">
        <w:rPr>
          <w:rFonts w:eastAsia="Calibri" w:cs="Arial"/>
          <w:bCs/>
          <w:color w:val="000000"/>
          <w:szCs w:val="22"/>
          <w:lang w:eastAsia="en-US"/>
        </w:rPr>
        <w:t>Disposition of inventory</w:t>
      </w:r>
    </w:p>
    <w:p w14:paraId="5B2699D0" w14:textId="77777777" w:rsidR="00E97956" w:rsidRPr="00E97956" w:rsidRDefault="00E97956" w:rsidP="00E97956">
      <w:pPr>
        <w:ind w:left="2841"/>
        <w:rPr>
          <w:rFonts w:eastAsia="Calibri" w:cs="Arial"/>
          <w:color w:val="000000"/>
          <w:szCs w:val="22"/>
          <w:lang w:eastAsia="en-US"/>
        </w:rPr>
      </w:pPr>
    </w:p>
    <w:p w14:paraId="1398071C" w14:textId="77777777" w:rsidR="008777FC" w:rsidRPr="00E97956" w:rsidRDefault="008777FC" w:rsidP="00E97956">
      <w:pPr>
        <w:pStyle w:val="ListParagraph"/>
        <w:numPr>
          <w:ilvl w:val="2"/>
          <w:numId w:val="2"/>
        </w:numPr>
        <w:ind w:left="1260" w:hanging="810"/>
        <w:rPr>
          <w:rFonts w:cs="Arial"/>
          <w:szCs w:val="22"/>
        </w:rPr>
      </w:pPr>
      <w:r w:rsidRPr="00E97956">
        <w:rPr>
          <w:rFonts w:eastAsia="Calibri" w:cs="Arial"/>
          <w:bCs/>
          <w:color w:val="000000"/>
          <w:szCs w:val="22"/>
          <w:lang w:eastAsia="en-US"/>
        </w:rPr>
        <w:t>The recall can be terminated upon receipt of notification from the FDA. Formal request to FDA for Recall Termination can be made as appropriate.</w:t>
      </w:r>
    </w:p>
    <w:p w14:paraId="4A558314" w14:textId="77777777" w:rsidR="008777FC" w:rsidRPr="00E97956" w:rsidRDefault="008777FC" w:rsidP="00E97956">
      <w:pPr>
        <w:pStyle w:val="ListParagraph"/>
        <w:ind w:left="1260" w:hanging="810"/>
        <w:rPr>
          <w:rFonts w:cs="Arial"/>
          <w:szCs w:val="22"/>
        </w:rPr>
      </w:pPr>
    </w:p>
    <w:p w14:paraId="6E8919A9" w14:textId="72E7A50A" w:rsidR="009640D7" w:rsidRPr="00E97956" w:rsidRDefault="008777FC" w:rsidP="00E97956">
      <w:pPr>
        <w:pStyle w:val="ListParagraph"/>
        <w:numPr>
          <w:ilvl w:val="2"/>
          <w:numId w:val="2"/>
        </w:numPr>
        <w:ind w:left="1260" w:hanging="810"/>
        <w:rPr>
          <w:rFonts w:cs="Arial"/>
          <w:szCs w:val="22"/>
        </w:rPr>
      </w:pPr>
      <w:r w:rsidRPr="00E97956">
        <w:rPr>
          <w:rFonts w:eastAsia="Calibri" w:cs="Arial"/>
          <w:bCs/>
          <w:color w:val="000000"/>
          <w:szCs w:val="22"/>
          <w:lang w:eastAsia="en-US"/>
        </w:rPr>
        <w:t xml:space="preserve">All FDA recall records </w:t>
      </w:r>
      <w:r w:rsidRPr="00E97956">
        <w:rPr>
          <w:rFonts w:eastAsia="Calibri" w:cs="Arial"/>
          <w:color w:val="000000"/>
          <w:szCs w:val="22"/>
          <w:lang w:eastAsia="en-US"/>
        </w:rPr>
        <w:t>and related documentation shall be filed and maintained per Document and Record Controls establi</w:t>
      </w:r>
      <w:r w:rsidR="00B845D1" w:rsidRPr="00E97956">
        <w:rPr>
          <w:rFonts w:eastAsia="Calibri" w:cs="Arial"/>
          <w:color w:val="000000"/>
          <w:szCs w:val="22"/>
          <w:lang w:eastAsia="en-US"/>
        </w:rPr>
        <w:t>shed in SOP-001, Quality Manual.</w:t>
      </w:r>
    </w:p>
    <w:p w14:paraId="3BB377BB" w14:textId="77777777" w:rsidR="00E97956" w:rsidRPr="00E97956" w:rsidRDefault="00E97956" w:rsidP="00E97956">
      <w:pPr>
        <w:rPr>
          <w:rFonts w:cs="Arial"/>
          <w:szCs w:val="22"/>
        </w:rPr>
      </w:pPr>
    </w:p>
    <w:p w14:paraId="693E5123" w14:textId="61544E1D" w:rsidR="009640D7" w:rsidRPr="00E97956" w:rsidRDefault="009640D7" w:rsidP="00E97956">
      <w:pPr>
        <w:pStyle w:val="ListParagraph"/>
        <w:numPr>
          <w:ilvl w:val="2"/>
          <w:numId w:val="2"/>
        </w:numPr>
        <w:ind w:left="1260" w:hanging="810"/>
        <w:rPr>
          <w:rFonts w:cs="Arial"/>
          <w:szCs w:val="22"/>
        </w:rPr>
      </w:pPr>
      <w:r w:rsidRPr="00E97956">
        <w:rPr>
          <w:rFonts w:cs="Arial"/>
          <w:szCs w:val="22"/>
          <w:u w:val="single"/>
        </w:rPr>
        <w:t>Recalls initiated from other Quality Issues:</w:t>
      </w:r>
      <w:r w:rsidRPr="00E97956">
        <w:rPr>
          <w:rFonts w:cs="Arial"/>
          <w:szCs w:val="22"/>
        </w:rPr>
        <w:t xml:space="preserve"> In the event </w:t>
      </w:r>
      <w:r w:rsidR="009331B1" w:rsidRPr="00E97956">
        <w:rPr>
          <w:rFonts w:cs="Arial"/>
          <w:szCs w:val="22"/>
        </w:rPr>
        <w:t>GT Medical</w:t>
      </w:r>
      <w:r w:rsidRPr="00E97956">
        <w:rPr>
          <w:rFonts w:cs="Arial"/>
          <w:szCs w:val="22"/>
        </w:rPr>
        <w:t xml:space="preserve"> becomes aware of quality issues not directly associated with complaint information (i.e. – NCR’s, vendor notifications, etc.) and needs to make corrections to product in the field, </w:t>
      </w:r>
      <w:r w:rsidR="009331B1" w:rsidRPr="00E97956">
        <w:rPr>
          <w:rFonts w:cs="Arial"/>
          <w:szCs w:val="22"/>
        </w:rPr>
        <w:t>GT Medical</w:t>
      </w:r>
      <w:r w:rsidRPr="00E97956">
        <w:rPr>
          <w:rFonts w:cs="Arial"/>
          <w:szCs w:val="22"/>
        </w:rPr>
        <w:t xml:space="preserve"> will open a complaint using form </w:t>
      </w:r>
      <w:r w:rsidRPr="00E97956">
        <w:rPr>
          <w:rFonts w:cs="Arial"/>
          <w:bCs/>
          <w:szCs w:val="22"/>
        </w:rPr>
        <w:fldChar w:fldCharType="begin"/>
      </w:r>
      <w:r w:rsidRPr="00E97956">
        <w:rPr>
          <w:rFonts w:cs="Arial"/>
          <w:bCs/>
          <w:szCs w:val="22"/>
        </w:rPr>
        <w:instrText xml:space="preserve"> REF ComplaintForm_name \h  \* MERGEFORMAT </w:instrText>
      </w:r>
      <w:r w:rsidRPr="00E97956">
        <w:rPr>
          <w:rFonts w:cs="Arial"/>
          <w:bCs/>
          <w:szCs w:val="22"/>
        </w:rPr>
      </w:r>
      <w:r w:rsidRPr="00E97956">
        <w:rPr>
          <w:rFonts w:cs="Arial"/>
          <w:bCs/>
          <w:szCs w:val="22"/>
        </w:rPr>
        <w:fldChar w:fldCharType="separate"/>
      </w:r>
      <w:r w:rsidR="00163B28" w:rsidRPr="00163B28">
        <w:rPr>
          <w:rFonts w:cs="Arial"/>
          <w:szCs w:val="22"/>
        </w:rPr>
        <w:t>F-003A, Complaint Handling Form</w:t>
      </w:r>
      <w:r w:rsidRPr="00E97956">
        <w:rPr>
          <w:rFonts w:cs="Arial"/>
          <w:bCs/>
          <w:szCs w:val="22"/>
        </w:rPr>
        <w:fldChar w:fldCharType="end"/>
      </w:r>
      <w:r w:rsidRPr="00E97956">
        <w:rPr>
          <w:rFonts w:cs="Arial"/>
          <w:bCs/>
          <w:szCs w:val="22"/>
        </w:rPr>
        <w:t xml:space="preserve"> </w:t>
      </w:r>
      <w:r w:rsidRPr="00E97956">
        <w:rPr>
          <w:rFonts w:cs="Arial"/>
          <w:szCs w:val="22"/>
        </w:rPr>
        <w:t xml:space="preserve">to document the investigation. </w:t>
      </w:r>
      <w:r w:rsidR="009331B1" w:rsidRPr="00E97956">
        <w:rPr>
          <w:rFonts w:cs="Arial"/>
          <w:szCs w:val="22"/>
        </w:rPr>
        <w:t>GT Medical</w:t>
      </w:r>
      <w:r w:rsidRPr="00E97956">
        <w:rPr>
          <w:rFonts w:cs="Arial"/>
          <w:szCs w:val="22"/>
        </w:rPr>
        <w:t xml:space="preserve"> will then use the Health Hazard Evaluation (HHE) Form</w:t>
      </w:r>
      <w:r w:rsidRPr="00E97956">
        <w:rPr>
          <w:rStyle w:val="FootnoteReference"/>
          <w:rFonts w:cs="Arial"/>
          <w:szCs w:val="22"/>
        </w:rPr>
        <w:footnoteReference w:id="2"/>
      </w:r>
      <w:r w:rsidRPr="00E97956">
        <w:rPr>
          <w:rFonts w:cs="Arial"/>
          <w:szCs w:val="22"/>
        </w:rPr>
        <w:t xml:space="preserve"> to evaluate the need to report actions to the regulatory authorities. </w:t>
      </w:r>
      <w:r w:rsidR="009331B1" w:rsidRPr="00E97956">
        <w:rPr>
          <w:rFonts w:cs="Arial"/>
          <w:szCs w:val="22"/>
        </w:rPr>
        <w:t>GT Medical</w:t>
      </w:r>
      <w:r w:rsidRPr="00E97956">
        <w:rPr>
          <w:rFonts w:cs="Arial"/>
          <w:szCs w:val="22"/>
        </w:rPr>
        <w:t xml:space="preserve"> will use </w:t>
      </w:r>
      <w:r w:rsidRPr="00E97956">
        <w:rPr>
          <w:rFonts w:cs="Arial"/>
          <w:bCs/>
          <w:szCs w:val="22"/>
        </w:rPr>
        <w:fldChar w:fldCharType="begin"/>
      </w:r>
      <w:r w:rsidRPr="00E97956">
        <w:rPr>
          <w:rFonts w:cs="Arial"/>
          <w:bCs/>
          <w:szCs w:val="22"/>
        </w:rPr>
        <w:instrText xml:space="preserve"> REF ComplaintForm_name \h  \* MERGEFORMAT </w:instrText>
      </w:r>
      <w:r w:rsidRPr="00E97956">
        <w:rPr>
          <w:rFonts w:cs="Arial"/>
          <w:bCs/>
          <w:szCs w:val="22"/>
        </w:rPr>
      </w:r>
      <w:r w:rsidRPr="00E97956">
        <w:rPr>
          <w:rFonts w:cs="Arial"/>
          <w:bCs/>
          <w:szCs w:val="22"/>
        </w:rPr>
        <w:fldChar w:fldCharType="separate"/>
      </w:r>
      <w:r w:rsidR="00163B28" w:rsidRPr="00163B28">
        <w:rPr>
          <w:rFonts w:cs="Arial"/>
          <w:szCs w:val="22"/>
        </w:rPr>
        <w:t>F-003A, Complaint Handling Form</w:t>
      </w:r>
      <w:r w:rsidRPr="00E97956">
        <w:rPr>
          <w:rFonts w:cs="Arial"/>
          <w:bCs/>
          <w:szCs w:val="22"/>
        </w:rPr>
        <w:fldChar w:fldCharType="end"/>
      </w:r>
      <w:r w:rsidRPr="00E97956">
        <w:rPr>
          <w:rFonts w:cs="Arial"/>
          <w:bCs/>
          <w:szCs w:val="22"/>
        </w:rPr>
        <w:t xml:space="preserve"> </w:t>
      </w:r>
      <w:r w:rsidRPr="00E97956">
        <w:rPr>
          <w:rFonts w:cs="Arial"/>
          <w:szCs w:val="22"/>
        </w:rPr>
        <w:t xml:space="preserve">to explain events leading to the consideration of action on product in distribution, summarize the HHE results, and conclusions regarding the need to report the action to the FDA per the above procedure. Should </w:t>
      </w:r>
      <w:r w:rsidR="009331B1" w:rsidRPr="00E97956">
        <w:rPr>
          <w:rFonts w:cs="Arial"/>
          <w:szCs w:val="22"/>
        </w:rPr>
        <w:t>GT Medical</w:t>
      </w:r>
      <w:r w:rsidRPr="00E97956">
        <w:rPr>
          <w:rFonts w:cs="Arial"/>
          <w:szCs w:val="22"/>
        </w:rPr>
        <w:t xml:space="preserve"> determine the </w:t>
      </w:r>
      <w:r w:rsidRPr="00E97956">
        <w:rPr>
          <w:rFonts w:cs="Arial"/>
          <w:szCs w:val="22"/>
        </w:rPr>
        <w:lastRenderedPageBreak/>
        <w:t>issue does not require reporting, a record of the investigation and justification will be maintained in the complaint record.</w:t>
      </w:r>
    </w:p>
    <w:p w14:paraId="766B3AD3" w14:textId="77777777" w:rsidR="008777FC" w:rsidRPr="00E97956" w:rsidRDefault="008777FC" w:rsidP="00E97956">
      <w:pPr>
        <w:ind w:left="2487"/>
        <w:rPr>
          <w:rFonts w:cs="Arial"/>
          <w:szCs w:val="22"/>
        </w:rPr>
      </w:pPr>
    </w:p>
    <w:p w14:paraId="0A156EA8" w14:textId="0CFE02F1" w:rsidR="000A18CD" w:rsidRDefault="00A375C4" w:rsidP="00E97956">
      <w:pPr>
        <w:pStyle w:val="ListParagraph"/>
        <w:numPr>
          <w:ilvl w:val="0"/>
          <w:numId w:val="2"/>
        </w:numPr>
        <w:rPr>
          <w:rFonts w:cs="Arial"/>
          <w:b/>
          <w:szCs w:val="22"/>
        </w:rPr>
      </w:pPr>
      <w:r w:rsidRPr="00E97956">
        <w:rPr>
          <w:rFonts w:cs="Arial"/>
          <w:b/>
          <w:szCs w:val="22"/>
        </w:rPr>
        <w:t xml:space="preserve">QUALITY </w:t>
      </w:r>
      <w:r w:rsidR="000A18CD" w:rsidRPr="00E97956">
        <w:rPr>
          <w:rFonts w:cs="Arial"/>
          <w:b/>
          <w:szCs w:val="22"/>
        </w:rPr>
        <w:t>RECORDS (REPORTING AND RECALLS)</w:t>
      </w:r>
    </w:p>
    <w:p w14:paraId="07C38C87" w14:textId="77777777" w:rsidR="00E97956" w:rsidRPr="00E97956" w:rsidRDefault="00E97956" w:rsidP="00E97956">
      <w:pPr>
        <w:pStyle w:val="ListParagraph"/>
        <w:ind w:left="360"/>
        <w:rPr>
          <w:rFonts w:cs="Arial"/>
          <w:b/>
          <w:szCs w:val="22"/>
        </w:rPr>
      </w:pPr>
    </w:p>
    <w:p w14:paraId="5A58F2F6" w14:textId="1AD2704F" w:rsidR="000A18CD" w:rsidRPr="00E97956" w:rsidRDefault="000A18CD" w:rsidP="00E97956">
      <w:pPr>
        <w:pStyle w:val="ListParagraph"/>
        <w:numPr>
          <w:ilvl w:val="1"/>
          <w:numId w:val="2"/>
        </w:numPr>
        <w:rPr>
          <w:rFonts w:cs="Arial"/>
          <w:b/>
          <w:szCs w:val="22"/>
        </w:rPr>
      </w:pPr>
      <w:r w:rsidRPr="00E97956">
        <w:rPr>
          <w:rFonts w:cs="Arial"/>
          <w:szCs w:val="22"/>
        </w:rPr>
        <w:t>The following information must be retained in the appropriate file</w:t>
      </w:r>
      <w:r w:rsidR="00A375C4" w:rsidRPr="00E97956">
        <w:rPr>
          <w:rFonts w:cs="Arial"/>
          <w:szCs w:val="22"/>
        </w:rPr>
        <w:t>:</w:t>
      </w:r>
    </w:p>
    <w:p w14:paraId="6DEE251A" w14:textId="77777777" w:rsidR="00A375C4" w:rsidRPr="00E97956" w:rsidRDefault="00A375C4" w:rsidP="00E97956">
      <w:pPr>
        <w:pStyle w:val="ListParagraph"/>
        <w:numPr>
          <w:ilvl w:val="0"/>
          <w:numId w:val="34"/>
        </w:numPr>
        <w:rPr>
          <w:rFonts w:cs="Arial"/>
          <w:szCs w:val="22"/>
        </w:rPr>
      </w:pPr>
      <w:r w:rsidRPr="00E97956">
        <w:rPr>
          <w:rFonts w:cs="Arial"/>
          <w:szCs w:val="22"/>
        </w:rPr>
        <w:t>A copy of the original complaint record and/or non-conformance report.</w:t>
      </w:r>
    </w:p>
    <w:p w14:paraId="64124FE7" w14:textId="77777777" w:rsidR="00A375C4" w:rsidRPr="00E97956" w:rsidRDefault="00A375C4" w:rsidP="00E97956">
      <w:pPr>
        <w:pStyle w:val="ListParagraph"/>
        <w:numPr>
          <w:ilvl w:val="0"/>
          <w:numId w:val="34"/>
        </w:numPr>
        <w:rPr>
          <w:rFonts w:cs="Arial"/>
          <w:szCs w:val="22"/>
        </w:rPr>
      </w:pPr>
      <w:r w:rsidRPr="00E97956">
        <w:rPr>
          <w:rFonts w:cs="Arial"/>
          <w:szCs w:val="22"/>
        </w:rPr>
        <w:t>Documentation of follow-up and attempts to follow-up and obtain additional information about the event.</w:t>
      </w:r>
    </w:p>
    <w:p w14:paraId="2D903BB1" w14:textId="77777777" w:rsidR="00A375C4" w:rsidRPr="00E97956" w:rsidRDefault="00A375C4" w:rsidP="00E97956">
      <w:pPr>
        <w:pStyle w:val="ListParagraph"/>
        <w:numPr>
          <w:ilvl w:val="0"/>
          <w:numId w:val="34"/>
        </w:numPr>
        <w:rPr>
          <w:rFonts w:cs="Arial"/>
          <w:szCs w:val="22"/>
        </w:rPr>
      </w:pPr>
      <w:r w:rsidRPr="00E97956">
        <w:rPr>
          <w:rFonts w:cs="Arial"/>
          <w:szCs w:val="22"/>
        </w:rPr>
        <w:t>An explanation of why certain information cannot be obtained.</w:t>
      </w:r>
    </w:p>
    <w:p w14:paraId="114EC8ED" w14:textId="77777777" w:rsidR="00A375C4" w:rsidRPr="00E97956" w:rsidRDefault="00A375C4" w:rsidP="00E97956">
      <w:pPr>
        <w:pStyle w:val="ListParagraph"/>
        <w:numPr>
          <w:ilvl w:val="0"/>
          <w:numId w:val="34"/>
        </w:numPr>
        <w:rPr>
          <w:rFonts w:cs="Arial"/>
          <w:szCs w:val="22"/>
        </w:rPr>
      </w:pPr>
      <w:r w:rsidRPr="00E97956">
        <w:rPr>
          <w:rFonts w:cs="Arial"/>
          <w:szCs w:val="22"/>
        </w:rPr>
        <w:t>Copies of any relevant test reports and investigation reports.</w:t>
      </w:r>
    </w:p>
    <w:p w14:paraId="167ED47D" w14:textId="77777777" w:rsidR="00A375C4" w:rsidRPr="00E97956" w:rsidRDefault="00A375C4" w:rsidP="00E97956">
      <w:pPr>
        <w:pStyle w:val="ListParagraph"/>
        <w:numPr>
          <w:ilvl w:val="0"/>
          <w:numId w:val="34"/>
        </w:numPr>
        <w:rPr>
          <w:rFonts w:cs="Arial"/>
          <w:szCs w:val="22"/>
        </w:rPr>
      </w:pPr>
      <w:r w:rsidRPr="00E97956">
        <w:rPr>
          <w:rFonts w:cs="Arial"/>
          <w:szCs w:val="22"/>
        </w:rPr>
        <w:t>Documentation related to the decisions used to determine the reportability of the event.</w:t>
      </w:r>
    </w:p>
    <w:p w14:paraId="1AAA6F38" w14:textId="77777777" w:rsidR="00A375C4" w:rsidRPr="00E97956" w:rsidRDefault="00A375C4" w:rsidP="00E97956">
      <w:pPr>
        <w:pStyle w:val="ListParagraph"/>
        <w:numPr>
          <w:ilvl w:val="0"/>
          <w:numId w:val="34"/>
        </w:numPr>
        <w:rPr>
          <w:rFonts w:cs="Arial"/>
          <w:szCs w:val="22"/>
        </w:rPr>
      </w:pPr>
      <w:r w:rsidRPr="00E97956">
        <w:rPr>
          <w:rFonts w:cs="Arial"/>
          <w:szCs w:val="22"/>
        </w:rPr>
        <w:t>Documentation of the final assessment of the event and any corrective or remedial action taken. If no corrective action is taken, a justification shall be provided.</w:t>
      </w:r>
    </w:p>
    <w:p w14:paraId="1779667A" w14:textId="77777777" w:rsidR="00A375C4" w:rsidRPr="00E97956" w:rsidRDefault="00A375C4" w:rsidP="00E97956">
      <w:pPr>
        <w:pStyle w:val="ListParagraph"/>
        <w:numPr>
          <w:ilvl w:val="0"/>
          <w:numId w:val="34"/>
        </w:numPr>
        <w:rPr>
          <w:rFonts w:cs="Arial"/>
          <w:szCs w:val="22"/>
        </w:rPr>
      </w:pPr>
      <w:r w:rsidRPr="00E97956">
        <w:rPr>
          <w:rFonts w:cs="Arial"/>
          <w:szCs w:val="22"/>
        </w:rPr>
        <w:t>Copies of reports and other information submitted to the applicable authorities.</w:t>
      </w:r>
    </w:p>
    <w:p w14:paraId="275D1377" w14:textId="77777777" w:rsidR="00A375C4" w:rsidRPr="00E97956" w:rsidRDefault="00A375C4" w:rsidP="00E97956">
      <w:pPr>
        <w:pStyle w:val="ListParagraph"/>
        <w:numPr>
          <w:ilvl w:val="0"/>
          <w:numId w:val="34"/>
        </w:numPr>
        <w:rPr>
          <w:rFonts w:cs="Arial"/>
          <w:szCs w:val="22"/>
        </w:rPr>
      </w:pPr>
      <w:r w:rsidRPr="00E97956">
        <w:rPr>
          <w:rFonts w:cs="Arial"/>
          <w:szCs w:val="22"/>
        </w:rPr>
        <w:t>Copies of information submitted to distributors or customers.</w:t>
      </w:r>
    </w:p>
    <w:p w14:paraId="38C07819" w14:textId="4431A12A" w:rsidR="00A375C4" w:rsidRPr="00E97956" w:rsidRDefault="00A375C4" w:rsidP="00E97956">
      <w:pPr>
        <w:pStyle w:val="ListParagraph"/>
        <w:numPr>
          <w:ilvl w:val="0"/>
          <w:numId w:val="34"/>
        </w:numPr>
        <w:rPr>
          <w:rFonts w:cs="Arial"/>
          <w:szCs w:val="22"/>
        </w:rPr>
      </w:pPr>
      <w:r w:rsidRPr="00E97956">
        <w:rPr>
          <w:rFonts w:cs="Arial"/>
          <w:szCs w:val="22"/>
        </w:rPr>
        <w:t>Copies of any other information required regulations.</w:t>
      </w:r>
    </w:p>
    <w:p w14:paraId="2F7E1239" w14:textId="73F2DAA0" w:rsidR="00A375C4" w:rsidRDefault="00550E36" w:rsidP="00E97956">
      <w:pPr>
        <w:pStyle w:val="ListParagraph"/>
        <w:numPr>
          <w:ilvl w:val="0"/>
          <w:numId w:val="34"/>
        </w:numPr>
        <w:rPr>
          <w:rFonts w:cs="Arial"/>
          <w:szCs w:val="22"/>
        </w:rPr>
      </w:pPr>
      <w:r w:rsidRPr="00E97956">
        <w:rPr>
          <w:rFonts w:cs="Arial"/>
          <w:szCs w:val="22"/>
        </w:rPr>
        <w:t>Copy of the device history record, if applicable.</w:t>
      </w:r>
    </w:p>
    <w:p w14:paraId="46BA262F" w14:textId="77777777" w:rsidR="00E97956" w:rsidRPr="00E97956" w:rsidRDefault="00E97956" w:rsidP="00E97956">
      <w:pPr>
        <w:ind w:left="1152"/>
        <w:rPr>
          <w:rFonts w:cs="Arial"/>
          <w:szCs w:val="22"/>
        </w:rPr>
      </w:pPr>
    </w:p>
    <w:p w14:paraId="01AFDB77" w14:textId="1322B5D0" w:rsidR="00A375C4" w:rsidRPr="007F1307" w:rsidRDefault="00550E36" w:rsidP="00E97956">
      <w:pPr>
        <w:pStyle w:val="ListParagraph"/>
        <w:numPr>
          <w:ilvl w:val="1"/>
          <w:numId w:val="2"/>
        </w:numPr>
        <w:rPr>
          <w:rFonts w:cs="Arial"/>
          <w:b/>
          <w:szCs w:val="22"/>
        </w:rPr>
      </w:pPr>
      <w:r w:rsidRPr="00E97956">
        <w:rPr>
          <w:rFonts w:cs="Arial"/>
          <w:u w:val="single"/>
        </w:rPr>
        <w:t>FDA requests:</w:t>
      </w:r>
      <w:r w:rsidRPr="00E97956">
        <w:rPr>
          <w:rFonts w:cs="Arial"/>
        </w:rPr>
        <w:t xml:space="preserve"> </w:t>
      </w:r>
      <w:r w:rsidR="00A375C4" w:rsidRPr="00E97956">
        <w:rPr>
          <w:rFonts w:cs="Arial"/>
        </w:rPr>
        <w:t xml:space="preserve">If FDA verbally requests additional information, </w:t>
      </w:r>
      <w:r w:rsidR="009331B1" w:rsidRPr="00E97956">
        <w:rPr>
          <w:rFonts w:cs="Arial"/>
        </w:rPr>
        <w:t>GT Medical</w:t>
      </w:r>
      <w:r w:rsidR="00A375C4" w:rsidRPr="00E97956">
        <w:rPr>
          <w:rFonts w:cs="Arial"/>
        </w:rPr>
        <w:t xml:space="preserve">’ </w:t>
      </w:r>
      <w:r w:rsidR="000A6DE4" w:rsidRPr="00E97956">
        <w:t>Quality Representative or delegate</w:t>
      </w:r>
      <w:r w:rsidR="00827328" w:rsidRPr="00E97956">
        <w:rPr>
          <w:rFonts w:cs="Arial"/>
          <w:szCs w:val="22"/>
        </w:rPr>
        <w:t xml:space="preserve"> </w:t>
      </w:r>
      <w:r w:rsidR="00A375C4" w:rsidRPr="00E97956">
        <w:rPr>
          <w:rFonts w:cs="Arial"/>
        </w:rPr>
        <w:t>shall ask to follow up such requests in writing.</w:t>
      </w:r>
    </w:p>
    <w:p w14:paraId="35A5A6DC" w14:textId="77777777" w:rsidR="002D1E99" w:rsidRPr="00E97956" w:rsidRDefault="002D1E99" w:rsidP="007F1307">
      <w:pPr>
        <w:pStyle w:val="ListParagraph"/>
        <w:ind w:left="792"/>
        <w:rPr>
          <w:rFonts w:cs="Arial"/>
          <w:b/>
          <w:szCs w:val="22"/>
        </w:rPr>
      </w:pPr>
      <w:bookmarkStart w:id="7" w:name="_GoBack"/>
    </w:p>
    <w:bookmarkEnd w:id="7"/>
    <w:p w14:paraId="73042943" w14:textId="6DAAA9B5" w:rsidR="00A375C4" w:rsidRPr="00E97956" w:rsidRDefault="00550E36" w:rsidP="00E97956">
      <w:pPr>
        <w:pStyle w:val="ListParagraph"/>
        <w:numPr>
          <w:ilvl w:val="1"/>
          <w:numId w:val="2"/>
        </w:numPr>
        <w:rPr>
          <w:rFonts w:eastAsia="Arial" w:cs="Arial"/>
          <w:b/>
          <w:bCs/>
        </w:rPr>
      </w:pPr>
      <w:r w:rsidRPr="00E97956">
        <w:rPr>
          <w:rFonts w:eastAsia="Arial" w:cs="Arial"/>
          <w:u w:val="single"/>
        </w:rPr>
        <w:t>Retention:</w:t>
      </w:r>
      <w:r w:rsidRPr="00E97956">
        <w:rPr>
          <w:rFonts w:eastAsia="Arial" w:cs="Arial"/>
        </w:rPr>
        <w:t xml:space="preserve"> </w:t>
      </w:r>
      <w:r w:rsidR="00A375C4" w:rsidRPr="00E97956">
        <w:rPr>
          <w:rFonts w:eastAsia="Arial" w:cs="Arial"/>
        </w:rPr>
        <w:t xml:space="preserve">Retention times for </w:t>
      </w:r>
      <w:r w:rsidR="00F37531" w:rsidRPr="00E97956">
        <w:rPr>
          <w:rFonts w:eastAsia="Arial" w:cs="Arial"/>
        </w:rPr>
        <w:t xml:space="preserve">reporting </w:t>
      </w:r>
      <w:r w:rsidR="00A375C4" w:rsidRPr="00E97956">
        <w:rPr>
          <w:rFonts w:eastAsia="Arial" w:cs="Arial"/>
        </w:rPr>
        <w:t xml:space="preserve">and </w:t>
      </w:r>
      <w:r w:rsidR="00223D53" w:rsidRPr="00E97956">
        <w:rPr>
          <w:rFonts w:eastAsia="Arial" w:cs="Arial"/>
        </w:rPr>
        <w:t xml:space="preserve">recall </w:t>
      </w:r>
      <w:r w:rsidR="00A375C4" w:rsidRPr="00E97956">
        <w:rPr>
          <w:rFonts w:eastAsia="Arial" w:cs="Arial"/>
        </w:rPr>
        <w:t>files must be in accordance with Document and Record Controls procedure as per SOP-001, Quality Manual.</w:t>
      </w:r>
    </w:p>
    <w:p w14:paraId="67FC7782" w14:textId="77777777" w:rsidR="003D20B9" w:rsidRPr="00E97956" w:rsidRDefault="003D20B9" w:rsidP="00E97956">
      <w:pPr>
        <w:pStyle w:val="ListParagraph"/>
        <w:ind w:left="360"/>
        <w:rPr>
          <w:rFonts w:eastAsia="Arial" w:cs="Arial"/>
          <w:b/>
          <w:bCs/>
        </w:rPr>
      </w:pPr>
    </w:p>
    <w:p w14:paraId="17F6B56E" w14:textId="2B6A52B1" w:rsidR="004E0421" w:rsidRDefault="004E0421" w:rsidP="00E97956">
      <w:pPr>
        <w:pStyle w:val="ListParagraph"/>
        <w:numPr>
          <w:ilvl w:val="0"/>
          <w:numId w:val="2"/>
        </w:numPr>
        <w:rPr>
          <w:rFonts w:eastAsia="Arial" w:cs="Arial"/>
          <w:b/>
          <w:bCs/>
        </w:rPr>
      </w:pPr>
      <w:r w:rsidRPr="00E97956">
        <w:rPr>
          <w:rFonts w:eastAsia="Arial" w:cs="Arial"/>
          <w:b/>
          <w:bCs/>
        </w:rPr>
        <w:t>MINIMUM NECESSARY REQUIREMENTS FOR PROTECTED HEALTH INFORMATION (PHI)</w:t>
      </w:r>
    </w:p>
    <w:p w14:paraId="28F318C2" w14:textId="77777777" w:rsidR="00E97956" w:rsidRPr="00E97956" w:rsidRDefault="00E97956" w:rsidP="00E97956">
      <w:pPr>
        <w:pStyle w:val="ListParagraph"/>
        <w:ind w:left="360"/>
        <w:rPr>
          <w:rFonts w:eastAsia="Arial" w:cs="Arial"/>
          <w:b/>
          <w:bCs/>
        </w:rPr>
      </w:pPr>
    </w:p>
    <w:p w14:paraId="473D72F9" w14:textId="664E6A76" w:rsidR="004E0421" w:rsidRPr="00E97956" w:rsidRDefault="004E0421" w:rsidP="00E97956">
      <w:pPr>
        <w:pStyle w:val="ListParagraph"/>
        <w:numPr>
          <w:ilvl w:val="1"/>
          <w:numId w:val="2"/>
        </w:numPr>
        <w:rPr>
          <w:rFonts w:eastAsia="Arial" w:cs="Arial"/>
          <w:b/>
          <w:bCs/>
        </w:rPr>
      </w:pPr>
      <w:r w:rsidRPr="00E97956">
        <w:rPr>
          <w:rFonts w:eastAsia="Arial" w:cs="Arial"/>
          <w:bCs/>
        </w:rPr>
        <w:t xml:space="preserve">It is possible that PHI may be disclosed to GT Medical in a complaint </w:t>
      </w:r>
      <w:r w:rsidR="00C92E71" w:rsidRPr="00E97956">
        <w:rPr>
          <w:rFonts w:eastAsia="Arial" w:cs="Arial"/>
          <w:bCs/>
        </w:rPr>
        <w:t xml:space="preserve">or adverse event </w:t>
      </w:r>
      <w:r w:rsidR="000B1064" w:rsidRPr="00E97956">
        <w:rPr>
          <w:rFonts w:eastAsia="Arial" w:cs="Arial"/>
          <w:bCs/>
        </w:rPr>
        <w:t>report, as c</w:t>
      </w:r>
      <w:r w:rsidR="00C92E71" w:rsidRPr="00E97956">
        <w:rPr>
          <w:rFonts w:eastAsia="Arial" w:cs="Arial"/>
          <w:bCs/>
        </w:rPr>
        <w:t xml:space="preserve">overed providers (per 45 CFR 160.163) may disclose PHI </w:t>
      </w:r>
      <w:r w:rsidR="000B1064" w:rsidRPr="00E97956">
        <w:rPr>
          <w:rFonts w:eastAsia="Arial" w:cs="Arial"/>
          <w:bCs/>
        </w:rPr>
        <w:t xml:space="preserve">to medical device manufacturers subject to FDA jurisdiction for purposes related to regulatory, safety, and effectiveness of FDA-regulated product. </w:t>
      </w:r>
      <w:r w:rsidR="00796EC8" w:rsidRPr="00E97956">
        <w:rPr>
          <w:rFonts w:eastAsia="Arial" w:cs="Arial"/>
          <w:bCs/>
        </w:rPr>
        <w:t xml:space="preserve">In this case, </w:t>
      </w:r>
      <w:r w:rsidRPr="00E97956">
        <w:rPr>
          <w:rFonts w:eastAsia="Arial" w:cs="Arial"/>
          <w:bCs/>
        </w:rPr>
        <w:t>GT Medical</w:t>
      </w:r>
      <w:r w:rsidR="00C92E71" w:rsidRPr="00E97956">
        <w:rPr>
          <w:rFonts w:eastAsia="Arial" w:cs="Arial"/>
          <w:bCs/>
        </w:rPr>
        <w:t xml:space="preserve"> </w:t>
      </w:r>
      <w:r w:rsidR="00796EC8" w:rsidRPr="00E97956">
        <w:rPr>
          <w:rFonts w:eastAsia="Arial" w:cs="Arial"/>
          <w:bCs/>
        </w:rPr>
        <w:t>may</w:t>
      </w:r>
      <w:r w:rsidR="00C92E71" w:rsidRPr="00E97956">
        <w:rPr>
          <w:rFonts w:eastAsia="Arial" w:cs="Arial"/>
          <w:bCs/>
        </w:rPr>
        <w:t xml:space="preserve"> be </w:t>
      </w:r>
      <w:r w:rsidRPr="00E97956">
        <w:rPr>
          <w:rFonts w:eastAsia="Arial" w:cs="Arial"/>
          <w:bCs/>
        </w:rPr>
        <w:t xml:space="preserve">required to maintain </w:t>
      </w:r>
      <w:r w:rsidR="000B1064" w:rsidRPr="00E97956">
        <w:rPr>
          <w:rFonts w:eastAsia="Arial" w:cs="Arial"/>
          <w:bCs/>
        </w:rPr>
        <w:t>PHI</w:t>
      </w:r>
      <w:r w:rsidRPr="00E97956">
        <w:rPr>
          <w:rFonts w:eastAsia="Arial" w:cs="Arial"/>
          <w:bCs/>
        </w:rPr>
        <w:t xml:space="preserve"> </w:t>
      </w:r>
      <w:r w:rsidR="00C92E71" w:rsidRPr="00E97956">
        <w:rPr>
          <w:rFonts w:eastAsia="Arial" w:cs="Arial"/>
          <w:bCs/>
        </w:rPr>
        <w:t>to comply with quality record requirements</w:t>
      </w:r>
      <w:r w:rsidRPr="00E97956">
        <w:rPr>
          <w:rFonts w:eastAsia="Arial" w:cs="Arial"/>
          <w:bCs/>
        </w:rPr>
        <w:t>.</w:t>
      </w:r>
      <w:r w:rsidR="00E97956">
        <w:rPr>
          <w:rFonts w:eastAsia="Arial" w:cs="Arial"/>
          <w:bCs/>
        </w:rPr>
        <w:t xml:space="preserve"> </w:t>
      </w:r>
    </w:p>
    <w:p w14:paraId="37E94082" w14:textId="77777777" w:rsidR="00E97956" w:rsidRPr="00E97956" w:rsidRDefault="00E97956" w:rsidP="00E97956">
      <w:pPr>
        <w:pStyle w:val="ListParagraph"/>
        <w:ind w:left="792"/>
        <w:rPr>
          <w:rFonts w:eastAsia="Arial" w:cs="Arial"/>
          <w:b/>
          <w:bCs/>
        </w:rPr>
      </w:pPr>
    </w:p>
    <w:p w14:paraId="0D87F33B" w14:textId="4A6B9397" w:rsidR="00C92E71" w:rsidRPr="00E97956" w:rsidRDefault="00AA137F" w:rsidP="00E97956">
      <w:pPr>
        <w:pStyle w:val="ListParagraph"/>
        <w:numPr>
          <w:ilvl w:val="1"/>
          <w:numId w:val="2"/>
        </w:numPr>
        <w:rPr>
          <w:rFonts w:eastAsia="Arial" w:cs="Arial"/>
          <w:bCs/>
        </w:rPr>
      </w:pPr>
      <w:r w:rsidRPr="00E97956">
        <w:rPr>
          <w:rFonts w:eastAsia="Arial" w:cs="Arial"/>
          <w:bCs/>
        </w:rPr>
        <w:t xml:space="preserve">GT Medical devices do not store, transmit, receive, and/or maintain PHI, and within the scope of </w:t>
      </w:r>
      <w:r w:rsidR="00796EC8" w:rsidRPr="00E97956">
        <w:rPr>
          <w:rFonts w:eastAsia="Arial" w:cs="Arial"/>
          <w:bCs/>
        </w:rPr>
        <w:t>this quality management system process</w:t>
      </w:r>
      <w:r w:rsidR="003D20B9" w:rsidRPr="00E97956">
        <w:rPr>
          <w:rFonts w:eastAsia="Arial" w:cs="Arial"/>
          <w:bCs/>
        </w:rPr>
        <w:t>,</w:t>
      </w:r>
      <w:r w:rsidR="000B1064" w:rsidRPr="00E97956">
        <w:rPr>
          <w:rFonts w:eastAsia="Arial" w:cs="Arial"/>
          <w:bCs/>
        </w:rPr>
        <w:t xml:space="preserve"> GT Medical does not provide services to/for </w:t>
      </w:r>
      <w:r w:rsidRPr="00E97956">
        <w:rPr>
          <w:rFonts w:eastAsia="Arial" w:cs="Arial"/>
          <w:bCs/>
        </w:rPr>
        <w:t>any</w:t>
      </w:r>
      <w:r w:rsidR="000B1064" w:rsidRPr="00E97956">
        <w:rPr>
          <w:rFonts w:eastAsia="Arial" w:cs="Arial"/>
          <w:bCs/>
        </w:rPr>
        <w:t xml:space="preserve"> health care provider, and/or act on behalf of </w:t>
      </w:r>
      <w:r w:rsidRPr="00E97956">
        <w:rPr>
          <w:rFonts w:eastAsia="Arial" w:cs="Arial"/>
          <w:bCs/>
        </w:rPr>
        <w:t xml:space="preserve">any </w:t>
      </w:r>
      <w:r w:rsidR="000B1064" w:rsidRPr="00E97956">
        <w:rPr>
          <w:rFonts w:eastAsia="Arial" w:cs="Arial"/>
          <w:bCs/>
        </w:rPr>
        <w:t>health care provide</w:t>
      </w:r>
      <w:r w:rsidRPr="00E97956">
        <w:rPr>
          <w:rFonts w:eastAsia="Arial" w:cs="Arial"/>
          <w:bCs/>
        </w:rPr>
        <w:t>r.</w:t>
      </w:r>
      <w:r w:rsidR="00E97956">
        <w:rPr>
          <w:rFonts w:eastAsia="Arial" w:cs="Arial"/>
          <w:bCs/>
        </w:rPr>
        <w:t xml:space="preserve"> </w:t>
      </w:r>
      <w:r w:rsidR="002D1E99" w:rsidRPr="00E97956">
        <w:rPr>
          <w:rFonts w:eastAsia="Arial" w:cs="Arial"/>
          <w:bCs/>
        </w:rPr>
        <w:t>Therefore,</w:t>
      </w:r>
      <w:r w:rsidRPr="00E97956">
        <w:rPr>
          <w:rFonts w:eastAsia="Arial" w:cs="Arial"/>
          <w:bCs/>
        </w:rPr>
        <w:t xml:space="preserve"> GT Medical</w:t>
      </w:r>
      <w:r w:rsidR="00796EC8" w:rsidRPr="00E97956">
        <w:rPr>
          <w:rFonts w:eastAsia="Arial" w:cs="Arial"/>
          <w:bCs/>
        </w:rPr>
        <w:t xml:space="preserve"> is not a </w:t>
      </w:r>
      <w:r w:rsidR="00796EC8" w:rsidRPr="00E97956">
        <w:rPr>
          <w:rFonts w:eastAsia="Arial" w:cs="Arial"/>
          <w:bCs/>
          <w:i/>
        </w:rPr>
        <w:t>covered entity</w:t>
      </w:r>
      <w:r w:rsidR="00796EC8" w:rsidRPr="00E97956">
        <w:rPr>
          <w:rFonts w:eastAsia="Arial" w:cs="Arial"/>
          <w:bCs/>
        </w:rPr>
        <w:t xml:space="preserve"> or </w:t>
      </w:r>
      <w:r w:rsidR="00796EC8" w:rsidRPr="00E97956">
        <w:rPr>
          <w:rFonts w:eastAsia="Arial" w:cs="Arial"/>
          <w:bCs/>
          <w:i/>
        </w:rPr>
        <w:t>business associate</w:t>
      </w:r>
      <w:r w:rsidR="00796EC8" w:rsidRPr="00E97956">
        <w:rPr>
          <w:rFonts w:eastAsia="Arial" w:cs="Arial"/>
          <w:bCs/>
        </w:rPr>
        <w:t xml:space="preserve"> per 45 CFR 160.163</w:t>
      </w:r>
      <w:r w:rsidRPr="00E97956">
        <w:rPr>
          <w:rFonts w:eastAsia="Arial" w:cs="Arial"/>
          <w:bCs/>
        </w:rPr>
        <w:t xml:space="preserve"> and</w:t>
      </w:r>
      <w:r w:rsidR="00796EC8" w:rsidRPr="00E97956">
        <w:rPr>
          <w:rFonts w:eastAsia="Arial" w:cs="Arial"/>
          <w:bCs/>
        </w:rPr>
        <w:t xml:space="preserve"> </w:t>
      </w:r>
      <w:r w:rsidR="00196883" w:rsidRPr="00E97956">
        <w:rPr>
          <w:rFonts w:eastAsia="Arial" w:cs="Arial"/>
          <w:bCs/>
        </w:rPr>
        <w:t>has only developed provisions</w:t>
      </w:r>
      <w:r w:rsidR="00796EC8" w:rsidRPr="00E97956">
        <w:rPr>
          <w:rFonts w:eastAsia="Arial" w:cs="Arial"/>
          <w:bCs/>
        </w:rPr>
        <w:t xml:space="preserve"> </w:t>
      </w:r>
      <w:r w:rsidR="007727E2" w:rsidRPr="00E97956">
        <w:rPr>
          <w:rFonts w:eastAsia="Arial" w:cs="Arial"/>
          <w:bCs/>
        </w:rPr>
        <w:t>to comply with the</w:t>
      </w:r>
      <w:r w:rsidR="00796EC8" w:rsidRPr="00E97956">
        <w:rPr>
          <w:rFonts w:eastAsia="Arial" w:cs="Arial"/>
          <w:bCs/>
        </w:rPr>
        <w:t xml:space="preserve"> Minimum Necessary Standard (Reference </w:t>
      </w:r>
      <w:r w:rsidR="00796EC8" w:rsidRPr="00E97956">
        <w:rPr>
          <w:rFonts w:ascii="Helvetica" w:hAnsi="Helvetica"/>
          <w:color w:val="000000"/>
          <w:sz w:val="21"/>
          <w:szCs w:val="21"/>
          <w:shd w:val="clear" w:color="auto" w:fill="FFFFFF"/>
        </w:rPr>
        <w:t>45 CFR 164.502(b), 164.514(d))</w:t>
      </w:r>
      <w:r w:rsidR="007727E2" w:rsidRPr="00E97956">
        <w:rPr>
          <w:rFonts w:ascii="Helvetica" w:hAnsi="Helvetica"/>
          <w:color w:val="000000"/>
          <w:sz w:val="21"/>
          <w:szCs w:val="21"/>
          <w:shd w:val="clear" w:color="auto" w:fill="FFFFFF"/>
        </w:rPr>
        <w:t xml:space="preserve">, as follows: </w:t>
      </w:r>
    </w:p>
    <w:p w14:paraId="198B047C" w14:textId="77777777" w:rsidR="00E97956" w:rsidRPr="00E97956" w:rsidRDefault="00E97956" w:rsidP="00E97956">
      <w:pPr>
        <w:rPr>
          <w:rFonts w:eastAsia="Arial" w:cs="Arial"/>
          <w:bCs/>
        </w:rPr>
      </w:pPr>
    </w:p>
    <w:p w14:paraId="7C0B4EE2" w14:textId="4BCCD123" w:rsidR="00796EC8" w:rsidRDefault="00796EC8" w:rsidP="00E97956">
      <w:pPr>
        <w:pStyle w:val="ListParagraph"/>
        <w:numPr>
          <w:ilvl w:val="2"/>
          <w:numId w:val="2"/>
        </w:numPr>
        <w:ind w:left="1440" w:hanging="720"/>
        <w:rPr>
          <w:rFonts w:eastAsia="Arial" w:cs="Arial"/>
          <w:bCs/>
        </w:rPr>
      </w:pPr>
      <w:r w:rsidRPr="00E97956">
        <w:rPr>
          <w:rFonts w:eastAsia="Arial" w:cs="Arial"/>
          <w:bCs/>
        </w:rPr>
        <w:t>GT Medical uses and/or disclosures of PHI shall only include communication or reporting to regulatory agencies, such as the FDA, as required or as requested</w:t>
      </w:r>
      <w:r w:rsidR="00AA137F" w:rsidRPr="00E97956">
        <w:rPr>
          <w:rFonts w:eastAsia="Arial" w:cs="Arial"/>
          <w:bCs/>
        </w:rPr>
        <w:t xml:space="preserve"> by the agency</w:t>
      </w:r>
      <w:r w:rsidR="00B5635D" w:rsidRPr="00E97956">
        <w:rPr>
          <w:rFonts w:eastAsia="Arial" w:cs="Arial"/>
          <w:bCs/>
        </w:rPr>
        <w:t xml:space="preserve"> and contract manufacturers who may need to participate in product investigations.</w:t>
      </w:r>
      <w:r w:rsidR="00E97956">
        <w:rPr>
          <w:rFonts w:eastAsia="Arial" w:cs="Arial"/>
          <w:bCs/>
        </w:rPr>
        <w:t xml:space="preserve"> </w:t>
      </w:r>
    </w:p>
    <w:p w14:paraId="0B016177" w14:textId="77777777" w:rsidR="00E97956" w:rsidRPr="00E97956" w:rsidRDefault="00E97956" w:rsidP="00E97956">
      <w:pPr>
        <w:pStyle w:val="ListParagraph"/>
        <w:ind w:left="1440" w:hanging="720"/>
        <w:rPr>
          <w:rFonts w:eastAsia="Arial" w:cs="Arial"/>
          <w:bCs/>
        </w:rPr>
      </w:pPr>
    </w:p>
    <w:p w14:paraId="6187E44D" w14:textId="7AE75D8C" w:rsidR="00796EC8" w:rsidRDefault="00796EC8" w:rsidP="00E97956">
      <w:pPr>
        <w:pStyle w:val="ListParagraph"/>
        <w:numPr>
          <w:ilvl w:val="2"/>
          <w:numId w:val="2"/>
        </w:numPr>
        <w:ind w:left="1440" w:hanging="720"/>
        <w:rPr>
          <w:rFonts w:eastAsia="Arial" w:cs="Arial"/>
          <w:bCs/>
        </w:rPr>
      </w:pPr>
      <w:r w:rsidRPr="00E97956">
        <w:rPr>
          <w:rFonts w:eastAsia="Arial" w:cs="Arial"/>
          <w:bCs/>
        </w:rPr>
        <w:t xml:space="preserve">GT Medical shall not make requests for PHI </w:t>
      </w:r>
      <w:r w:rsidR="00AA137F" w:rsidRPr="00E97956">
        <w:rPr>
          <w:rFonts w:eastAsia="Arial" w:cs="Arial"/>
          <w:bCs/>
        </w:rPr>
        <w:t>for the complaint handling, reporting, and recall process</w:t>
      </w:r>
      <w:r w:rsidR="00B5635D" w:rsidRPr="00E97956">
        <w:rPr>
          <w:rFonts w:eastAsia="Arial" w:cs="Arial"/>
          <w:bCs/>
        </w:rPr>
        <w:t xml:space="preserve"> unless the information is necessary to perform a thorough product investigation</w:t>
      </w:r>
      <w:r w:rsidR="00AA137F" w:rsidRPr="00E97956">
        <w:rPr>
          <w:rFonts w:eastAsia="Arial" w:cs="Arial"/>
          <w:bCs/>
        </w:rPr>
        <w:t>.</w:t>
      </w:r>
      <w:r w:rsidR="00E97956">
        <w:rPr>
          <w:rFonts w:eastAsia="Arial" w:cs="Arial"/>
          <w:bCs/>
        </w:rPr>
        <w:t xml:space="preserve"> </w:t>
      </w:r>
    </w:p>
    <w:p w14:paraId="034457E6" w14:textId="77777777" w:rsidR="00E97956" w:rsidRPr="00E97956" w:rsidRDefault="00E97956" w:rsidP="00E97956">
      <w:pPr>
        <w:ind w:left="1440" w:hanging="720"/>
        <w:rPr>
          <w:rFonts w:eastAsia="Arial" w:cs="Arial"/>
          <w:bCs/>
        </w:rPr>
      </w:pPr>
    </w:p>
    <w:p w14:paraId="738C9C42" w14:textId="315CA9C5" w:rsidR="00AA137F" w:rsidRDefault="00AA137F" w:rsidP="00E97956">
      <w:pPr>
        <w:pStyle w:val="ListParagraph"/>
        <w:numPr>
          <w:ilvl w:val="2"/>
          <w:numId w:val="2"/>
        </w:numPr>
        <w:ind w:left="1440" w:hanging="720"/>
        <w:rPr>
          <w:rFonts w:eastAsia="Arial" w:cs="Arial"/>
          <w:bCs/>
        </w:rPr>
      </w:pPr>
      <w:r w:rsidRPr="00E97956">
        <w:rPr>
          <w:rFonts w:eastAsia="Arial" w:cs="Arial"/>
          <w:bCs/>
        </w:rPr>
        <w:lastRenderedPageBreak/>
        <w:t>GT Medical has taken steps to limit access to quality records which may contain PHI, by defining responsibilities within the current SOP and storing them in accordance with SOP-005 Electronic Tools Procedure.</w:t>
      </w:r>
      <w:r w:rsidR="00E97956">
        <w:rPr>
          <w:rFonts w:eastAsia="Arial" w:cs="Arial"/>
          <w:bCs/>
        </w:rPr>
        <w:t xml:space="preserve"> </w:t>
      </w:r>
    </w:p>
    <w:p w14:paraId="11CDEC73" w14:textId="77777777" w:rsidR="00E97956" w:rsidRPr="00E97956" w:rsidRDefault="00E97956" w:rsidP="00E97956">
      <w:pPr>
        <w:ind w:left="1440" w:hanging="720"/>
        <w:rPr>
          <w:rFonts w:eastAsia="Arial" w:cs="Arial"/>
          <w:bCs/>
        </w:rPr>
      </w:pPr>
    </w:p>
    <w:p w14:paraId="68A65897" w14:textId="01916474" w:rsidR="00AA137F" w:rsidRPr="00E97956" w:rsidRDefault="00AA137F" w:rsidP="00E97956">
      <w:pPr>
        <w:pStyle w:val="ListParagraph"/>
        <w:numPr>
          <w:ilvl w:val="2"/>
          <w:numId w:val="2"/>
        </w:numPr>
        <w:ind w:left="1440" w:hanging="720"/>
        <w:rPr>
          <w:rFonts w:eastAsia="Arial" w:cs="Arial"/>
          <w:bCs/>
        </w:rPr>
      </w:pPr>
      <w:r w:rsidRPr="00E97956">
        <w:rPr>
          <w:rFonts w:eastAsia="Arial" w:cs="Arial"/>
          <w:bCs/>
        </w:rPr>
        <w:t>If GT Medical determines a need for the use, disclosure, or request for other business processes, appropriate provisions shall be established to ensure compliance to the applicable regulation.</w:t>
      </w:r>
      <w:r w:rsidR="00E97956">
        <w:rPr>
          <w:rFonts w:eastAsia="Arial" w:cs="Arial"/>
          <w:bCs/>
        </w:rPr>
        <w:t xml:space="preserve"> </w:t>
      </w:r>
    </w:p>
    <w:p w14:paraId="484F9118" w14:textId="77777777" w:rsidR="00A375C4" w:rsidRPr="00E97956" w:rsidRDefault="00A375C4" w:rsidP="00E97956">
      <w:pPr>
        <w:pStyle w:val="ListParagraph"/>
        <w:ind w:left="1512"/>
        <w:rPr>
          <w:rFonts w:cs="Arial"/>
          <w:b/>
          <w:szCs w:val="22"/>
        </w:rPr>
      </w:pPr>
    </w:p>
    <w:p w14:paraId="2C3FE527" w14:textId="2D6B4EF5" w:rsidR="00B641B1" w:rsidRPr="00E97956" w:rsidRDefault="00437211" w:rsidP="00E97956">
      <w:pPr>
        <w:pStyle w:val="ListParagraph"/>
        <w:numPr>
          <w:ilvl w:val="0"/>
          <w:numId w:val="2"/>
        </w:numPr>
        <w:rPr>
          <w:rFonts w:cs="Arial"/>
          <w:b/>
          <w:szCs w:val="22"/>
        </w:rPr>
      </w:pPr>
      <w:r w:rsidRPr="00E97956">
        <w:rPr>
          <w:rFonts w:cs="Arial"/>
          <w:b/>
          <w:szCs w:val="22"/>
        </w:rPr>
        <w:t>APPENDICES</w:t>
      </w:r>
    </w:p>
    <w:p w14:paraId="08C0CE7F" w14:textId="77777777" w:rsidR="00E97956" w:rsidRPr="00E97956" w:rsidRDefault="00E97956" w:rsidP="00E97956">
      <w:pPr>
        <w:pStyle w:val="ListParagraph"/>
        <w:ind w:left="360"/>
        <w:rPr>
          <w:rFonts w:cs="Arial"/>
          <w:b/>
          <w:szCs w:val="22"/>
        </w:rPr>
      </w:pPr>
    </w:p>
    <w:p w14:paraId="361F34FD" w14:textId="11770C65" w:rsidR="00437211" w:rsidRPr="00E97956" w:rsidRDefault="00437211" w:rsidP="00E97956">
      <w:pPr>
        <w:pStyle w:val="ListParagraph"/>
        <w:numPr>
          <w:ilvl w:val="1"/>
          <w:numId w:val="2"/>
        </w:numPr>
        <w:rPr>
          <w:rFonts w:eastAsia="Arial" w:cs="Arial"/>
          <w:b/>
          <w:bCs/>
        </w:rPr>
      </w:pPr>
      <w:r w:rsidRPr="00E97956">
        <w:rPr>
          <w:rFonts w:eastAsia="Arial" w:cs="Arial"/>
        </w:rPr>
        <w:t>Appendix A: Customer Complaint Flowchart</w:t>
      </w:r>
    </w:p>
    <w:p w14:paraId="27136A91" w14:textId="781A1EE8" w:rsidR="00437211" w:rsidRPr="00E97956" w:rsidRDefault="00437211" w:rsidP="00E97956">
      <w:pPr>
        <w:pStyle w:val="ListParagraph"/>
        <w:numPr>
          <w:ilvl w:val="1"/>
          <w:numId w:val="2"/>
        </w:numPr>
        <w:rPr>
          <w:rFonts w:eastAsia="Arial" w:cs="Arial"/>
          <w:b/>
          <w:bCs/>
        </w:rPr>
      </w:pPr>
      <w:r w:rsidRPr="00E97956">
        <w:rPr>
          <w:rFonts w:eastAsia="Arial" w:cs="Arial"/>
        </w:rPr>
        <w:t>Appendix B: Reportable Event Timeline Table</w:t>
      </w:r>
      <w:r w:rsidR="009D73D9" w:rsidRPr="00E97956">
        <w:rPr>
          <w:rFonts w:eastAsia="Arial" w:cs="Arial"/>
        </w:rPr>
        <w:t xml:space="preserve"> </w:t>
      </w:r>
    </w:p>
    <w:p w14:paraId="548CEA08" w14:textId="77777777" w:rsidR="00BA513D" w:rsidRPr="00E97956" w:rsidRDefault="00BA513D" w:rsidP="00E97956">
      <w:pPr>
        <w:pStyle w:val="ListParagraph"/>
        <w:ind w:left="792"/>
        <w:rPr>
          <w:rFonts w:cs="Arial"/>
          <w:b/>
          <w:szCs w:val="22"/>
        </w:rPr>
        <w:sectPr w:rsidR="00BA513D" w:rsidRPr="00E97956" w:rsidSect="00BA513D">
          <w:headerReference w:type="default" r:id="rId10"/>
          <w:pgSz w:w="12240" w:h="15840"/>
          <w:pgMar w:top="1440" w:right="1080" w:bottom="1440" w:left="1080" w:header="708" w:footer="708" w:gutter="0"/>
          <w:cols w:space="708"/>
          <w:docGrid w:linePitch="360"/>
        </w:sectPr>
      </w:pPr>
    </w:p>
    <w:p w14:paraId="07CD0664" w14:textId="77777777" w:rsidR="006371BE" w:rsidRPr="00E97956" w:rsidRDefault="006371BE" w:rsidP="00E97956">
      <w:pPr>
        <w:pStyle w:val="ListParagraph"/>
        <w:numPr>
          <w:ilvl w:val="0"/>
          <w:numId w:val="2"/>
        </w:numPr>
        <w:rPr>
          <w:rFonts w:cs="Arial"/>
          <w:b/>
          <w:szCs w:val="22"/>
        </w:rPr>
      </w:pPr>
      <w:r w:rsidRPr="00E97956">
        <w:rPr>
          <w:rFonts w:cs="Arial"/>
          <w:b/>
          <w:szCs w:val="22"/>
        </w:rPr>
        <w:lastRenderedPageBreak/>
        <w:t>DOCUMENT HISTORY</w:t>
      </w:r>
    </w:p>
    <w:p w14:paraId="5F7AE8D1" w14:textId="77777777" w:rsidR="00B24727" w:rsidRPr="00E97956" w:rsidRDefault="00B24727" w:rsidP="00E97956">
      <w:pPr>
        <w:rPr>
          <w:rFonts w:cs="Arial"/>
          <w:szCs w:val="22"/>
        </w:rPr>
      </w:pPr>
    </w:p>
    <w:tbl>
      <w:tblPr>
        <w:tblW w:w="8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3"/>
        <w:gridCol w:w="5000"/>
      </w:tblGrid>
      <w:tr w:rsidR="00CB363C" w:rsidRPr="00E97956" w14:paraId="18773D01" w14:textId="77777777" w:rsidTr="002D1E99">
        <w:trPr>
          <w:trHeight w:val="263"/>
          <w:jc w:val="center"/>
        </w:trPr>
        <w:tc>
          <w:tcPr>
            <w:tcW w:w="3143" w:type="dxa"/>
            <w:tcBorders>
              <w:bottom w:val="single" w:sz="12" w:space="0" w:color="auto"/>
            </w:tcBorders>
            <w:shd w:val="clear" w:color="auto" w:fill="auto"/>
            <w:vAlign w:val="center"/>
          </w:tcPr>
          <w:p w14:paraId="0E788E6F" w14:textId="41B46247" w:rsidR="00CB363C" w:rsidRPr="00E97956" w:rsidRDefault="00BE0BD2" w:rsidP="00E97956">
            <w:pPr>
              <w:jc w:val="center"/>
              <w:rPr>
                <w:rFonts w:cs="Arial"/>
                <w:szCs w:val="22"/>
              </w:rPr>
            </w:pPr>
            <w:r>
              <w:rPr>
                <w:rFonts w:cs="Arial"/>
                <w:szCs w:val="22"/>
              </w:rPr>
              <w:t>Functional Area</w:t>
            </w:r>
          </w:p>
        </w:tc>
        <w:tc>
          <w:tcPr>
            <w:tcW w:w="5000" w:type="dxa"/>
            <w:tcBorders>
              <w:bottom w:val="single" w:sz="12" w:space="0" w:color="auto"/>
            </w:tcBorders>
            <w:shd w:val="clear" w:color="auto" w:fill="auto"/>
            <w:vAlign w:val="center"/>
          </w:tcPr>
          <w:p w14:paraId="63FA6811" w14:textId="6C46E536" w:rsidR="00CB363C" w:rsidRPr="00E97956" w:rsidRDefault="00CB363C" w:rsidP="00E97956">
            <w:pPr>
              <w:jc w:val="center"/>
              <w:rPr>
                <w:rFonts w:cs="Arial"/>
                <w:szCs w:val="22"/>
              </w:rPr>
            </w:pPr>
            <w:r w:rsidRPr="00E97956">
              <w:rPr>
                <w:rFonts w:cs="Arial"/>
                <w:szCs w:val="22"/>
              </w:rPr>
              <w:t>Signature &amp; Date</w:t>
            </w:r>
          </w:p>
        </w:tc>
      </w:tr>
      <w:tr w:rsidR="00CB363C" w:rsidRPr="00E97956" w14:paraId="2523E588" w14:textId="77777777" w:rsidTr="002D1E99">
        <w:trPr>
          <w:trHeight w:val="1378"/>
          <w:jc w:val="center"/>
        </w:trPr>
        <w:tc>
          <w:tcPr>
            <w:tcW w:w="3143" w:type="dxa"/>
            <w:tcBorders>
              <w:top w:val="single" w:sz="12" w:space="0" w:color="auto"/>
            </w:tcBorders>
            <w:shd w:val="clear" w:color="auto" w:fill="auto"/>
            <w:vAlign w:val="center"/>
          </w:tcPr>
          <w:p w14:paraId="316C0743" w14:textId="402B27F7" w:rsidR="00CB363C" w:rsidRPr="00E97956" w:rsidRDefault="00CB363C" w:rsidP="00E97956">
            <w:pPr>
              <w:jc w:val="center"/>
              <w:rPr>
                <w:rFonts w:cs="Arial"/>
                <w:szCs w:val="22"/>
              </w:rPr>
            </w:pPr>
            <w:r w:rsidRPr="00E97956">
              <w:rPr>
                <w:rFonts w:cs="Arial"/>
                <w:szCs w:val="22"/>
              </w:rPr>
              <w:t>Operations</w:t>
            </w:r>
          </w:p>
        </w:tc>
        <w:tc>
          <w:tcPr>
            <w:tcW w:w="5000" w:type="dxa"/>
            <w:tcBorders>
              <w:top w:val="single" w:sz="12" w:space="0" w:color="auto"/>
            </w:tcBorders>
            <w:shd w:val="clear" w:color="auto" w:fill="auto"/>
            <w:vAlign w:val="center"/>
          </w:tcPr>
          <w:p w14:paraId="4F9ADEE1" w14:textId="77777777" w:rsidR="00CB363C" w:rsidRPr="00E97956" w:rsidRDefault="00CB363C" w:rsidP="00E97956">
            <w:pPr>
              <w:jc w:val="center"/>
              <w:rPr>
                <w:rFonts w:cs="Arial"/>
                <w:szCs w:val="22"/>
              </w:rPr>
            </w:pPr>
          </w:p>
          <w:p w14:paraId="6418C3FE" w14:textId="5D80CFA3" w:rsidR="00CB363C" w:rsidRPr="00E97956" w:rsidRDefault="00CB363C" w:rsidP="00E97956">
            <w:pPr>
              <w:jc w:val="center"/>
              <w:rPr>
                <w:rFonts w:cs="Arial"/>
                <w:szCs w:val="22"/>
                <w:highlight w:val="yellow"/>
              </w:rPr>
            </w:pPr>
          </w:p>
        </w:tc>
      </w:tr>
      <w:tr w:rsidR="00CB363C" w:rsidRPr="00E97956" w14:paraId="1CF92D72" w14:textId="77777777" w:rsidTr="002D1E99">
        <w:trPr>
          <w:trHeight w:val="1547"/>
          <w:jc w:val="center"/>
        </w:trPr>
        <w:tc>
          <w:tcPr>
            <w:tcW w:w="3143" w:type="dxa"/>
            <w:shd w:val="clear" w:color="auto" w:fill="auto"/>
            <w:vAlign w:val="center"/>
          </w:tcPr>
          <w:p w14:paraId="2DF543DE" w14:textId="52A91754" w:rsidR="00CB363C" w:rsidRPr="00E97956" w:rsidRDefault="00CB363C" w:rsidP="00637E49">
            <w:pPr>
              <w:jc w:val="center"/>
              <w:rPr>
                <w:rFonts w:cs="Arial"/>
                <w:szCs w:val="22"/>
              </w:rPr>
            </w:pPr>
            <w:r w:rsidRPr="00E97956">
              <w:rPr>
                <w:rFonts w:cs="Arial"/>
                <w:szCs w:val="22"/>
              </w:rPr>
              <w:t>Quality</w:t>
            </w:r>
          </w:p>
        </w:tc>
        <w:tc>
          <w:tcPr>
            <w:tcW w:w="5000" w:type="dxa"/>
            <w:shd w:val="clear" w:color="auto" w:fill="auto"/>
            <w:vAlign w:val="center"/>
          </w:tcPr>
          <w:p w14:paraId="78EFA77C" w14:textId="77777777" w:rsidR="00CB363C" w:rsidRPr="00E97956" w:rsidRDefault="00CB363C" w:rsidP="00637E49">
            <w:pPr>
              <w:jc w:val="center"/>
              <w:rPr>
                <w:rFonts w:cs="Arial"/>
                <w:szCs w:val="22"/>
              </w:rPr>
            </w:pPr>
          </w:p>
        </w:tc>
      </w:tr>
      <w:tr w:rsidR="00CB363C" w:rsidRPr="00E97956" w14:paraId="3C8D8C50" w14:textId="77777777" w:rsidTr="002D1E99">
        <w:trPr>
          <w:trHeight w:val="1547"/>
          <w:jc w:val="center"/>
        </w:trPr>
        <w:tc>
          <w:tcPr>
            <w:tcW w:w="3143" w:type="dxa"/>
            <w:shd w:val="clear" w:color="auto" w:fill="auto"/>
            <w:vAlign w:val="center"/>
          </w:tcPr>
          <w:p w14:paraId="4FD2C902" w14:textId="3CB34737" w:rsidR="00CB363C" w:rsidRPr="00E97956" w:rsidRDefault="00BE0BD2" w:rsidP="00637E49">
            <w:pPr>
              <w:jc w:val="center"/>
              <w:rPr>
                <w:rFonts w:cs="Arial"/>
                <w:szCs w:val="22"/>
              </w:rPr>
            </w:pPr>
            <w:r>
              <w:rPr>
                <w:rFonts w:cs="Arial"/>
                <w:szCs w:val="22"/>
              </w:rPr>
              <w:t>Regulatory</w:t>
            </w:r>
          </w:p>
        </w:tc>
        <w:tc>
          <w:tcPr>
            <w:tcW w:w="5000" w:type="dxa"/>
            <w:shd w:val="clear" w:color="auto" w:fill="auto"/>
            <w:vAlign w:val="center"/>
          </w:tcPr>
          <w:p w14:paraId="282F6049" w14:textId="77777777" w:rsidR="00CB363C" w:rsidRPr="00E97956" w:rsidRDefault="00CB363C" w:rsidP="00637E49">
            <w:pPr>
              <w:jc w:val="center"/>
              <w:rPr>
                <w:rFonts w:cs="Arial"/>
                <w:szCs w:val="22"/>
              </w:rPr>
            </w:pPr>
          </w:p>
        </w:tc>
      </w:tr>
    </w:tbl>
    <w:p w14:paraId="7FBC2534" w14:textId="77777777" w:rsidR="00B24727" w:rsidRPr="00E97956" w:rsidRDefault="00B24727" w:rsidP="00E97956">
      <w:pPr>
        <w:rPr>
          <w:rFonts w:cs="Arial"/>
          <w:szCs w:val="22"/>
        </w:rPr>
      </w:pPr>
    </w:p>
    <w:tbl>
      <w:tblPr>
        <w:tblW w:w="5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701"/>
        <w:gridCol w:w="2886"/>
      </w:tblGrid>
      <w:tr w:rsidR="00FC31BC" w:rsidRPr="00E97956" w14:paraId="54CD1643" w14:textId="77777777" w:rsidTr="009625C7">
        <w:trPr>
          <w:trHeight w:val="277"/>
          <w:jc w:val="center"/>
        </w:trPr>
        <w:tc>
          <w:tcPr>
            <w:tcW w:w="5544" w:type="dxa"/>
            <w:gridSpan w:val="3"/>
            <w:tcBorders>
              <w:bottom w:val="single" w:sz="4" w:space="0" w:color="auto"/>
            </w:tcBorders>
            <w:shd w:val="clear" w:color="auto" w:fill="F2F2F2" w:themeFill="background1" w:themeFillShade="F2"/>
          </w:tcPr>
          <w:p w14:paraId="6FEC3C2A" w14:textId="77777777" w:rsidR="00B24727" w:rsidRPr="00E97956" w:rsidRDefault="00B24727" w:rsidP="00E97956">
            <w:pPr>
              <w:jc w:val="center"/>
              <w:rPr>
                <w:rFonts w:cs="Arial"/>
                <w:b/>
                <w:szCs w:val="22"/>
              </w:rPr>
            </w:pPr>
            <w:r w:rsidRPr="00E97956">
              <w:rPr>
                <w:rFonts w:cs="Arial"/>
                <w:b/>
                <w:szCs w:val="22"/>
              </w:rPr>
              <w:t>REVISION HISTORY</w:t>
            </w:r>
          </w:p>
        </w:tc>
      </w:tr>
      <w:tr w:rsidR="00FC31BC" w:rsidRPr="00E97956" w14:paraId="64E5FE1C" w14:textId="77777777" w:rsidTr="009625C7">
        <w:trPr>
          <w:trHeight w:val="64"/>
          <w:jc w:val="center"/>
        </w:trPr>
        <w:tc>
          <w:tcPr>
            <w:tcW w:w="957" w:type="dxa"/>
            <w:tcBorders>
              <w:bottom w:val="single" w:sz="12" w:space="0" w:color="auto"/>
            </w:tcBorders>
            <w:shd w:val="clear" w:color="auto" w:fill="auto"/>
            <w:vAlign w:val="center"/>
          </w:tcPr>
          <w:p w14:paraId="5ADBDDAF" w14:textId="77777777" w:rsidR="00FC31BC" w:rsidRPr="00E97956" w:rsidRDefault="00FC31BC" w:rsidP="00E97956">
            <w:pPr>
              <w:jc w:val="center"/>
              <w:rPr>
                <w:rFonts w:cs="Arial"/>
                <w:szCs w:val="22"/>
              </w:rPr>
            </w:pPr>
            <w:r w:rsidRPr="00E97956">
              <w:rPr>
                <w:rFonts w:cs="Arial"/>
                <w:szCs w:val="22"/>
              </w:rPr>
              <w:t>Rev. #</w:t>
            </w:r>
          </w:p>
        </w:tc>
        <w:tc>
          <w:tcPr>
            <w:tcW w:w="1701" w:type="dxa"/>
            <w:tcBorders>
              <w:bottom w:val="single" w:sz="12" w:space="0" w:color="auto"/>
            </w:tcBorders>
            <w:shd w:val="clear" w:color="auto" w:fill="auto"/>
            <w:vAlign w:val="center"/>
          </w:tcPr>
          <w:p w14:paraId="3FD45825" w14:textId="77777777" w:rsidR="00FC31BC" w:rsidRPr="00E97956" w:rsidRDefault="00FC31BC" w:rsidP="00E97956">
            <w:pPr>
              <w:jc w:val="center"/>
              <w:rPr>
                <w:rFonts w:cs="Arial"/>
                <w:szCs w:val="22"/>
              </w:rPr>
            </w:pPr>
            <w:r w:rsidRPr="00E97956">
              <w:rPr>
                <w:rFonts w:cs="Arial"/>
                <w:szCs w:val="22"/>
              </w:rPr>
              <w:t>Released Date</w:t>
            </w:r>
          </w:p>
          <w:p w14:paraId="5046478D" w14:textId="78A7588B" w:rsidR="00FC31BC" w:rsidRPr="00E97956" w:rsidRDefault="00FC31BC" w:rsidP="00E97956">
            <w:pPr>
              <w:jc w:val="center"/>
              <w:rPr>
                <w:rFonts w:cs="Arial"/>
                <w:szCs w:val="22"/>
              </w:rPr>
            </w:pPr>
            <w:r w:rsidRPr="00E97956">
              <w:rPr>
                <w:rFonts w:cs="Arial"/>
                <w:sz w:val="18"/>
                <w:szCs w:val="22"/>
              </w:rPr>
              <w:t>(YY</w:t>
            </w:r>
            <w:r w:rsidR="00F26219" w:rsidRPr="00E97956">
              <w:rPr>
                <w:rFonts w:cs="Arial"/>
                <w:sz w:val="18"/>
                <w:szCs w:val="22"/>
              </w:rPr>
              <w:t>YY-MM-DD</w:t>
            </w:r>
            <w:r w:rsidRPr="00E97956">
              <w:rPr>
                <w:rFonts w:cs="Arial"/>
                <w:sz w:val="18"/>
                <w:szCs w:val="22"/>
              </w:rPr>
              <w:t>)</w:t>
            </w:r>
          </w:p>
        </w:tc>
        <w:tc>
          <w:tcPr>
            <w:tcW w:w="2886" w:type="dxa"/>
            <w:tcBorders>
              <w:bottom w:val="single" w:sz="12" w:space="0" w:color="auto"/>
            </w:tcBorders>
            <w:vAlign w:val="center"/>
          </w:tcPr>
          <w:p w14:paraId="3333CA55" w14:textId="77777777" w:rsidR="00FC31BC" w:rsidRPr="00E97956" w:rsidRDefault="00FC31BC" w:rsidP="00E97956">
            <w:pPr>
              <w:jc w:val="center"/>
              <w:rPr>
                <w:rFonts w:cs="Arial"/>
                <w:szCs w:val="22"/>
              </w:rPr>
            </w:pPr>
            <w:r w:rsidRPr="00E97956">
              <w:rPr>
                <w:rFonts w:cs="Arial"/>
                <w:szCs w:val="22"/>
              </w:rPr>
              <w:t>Author</w:t>
            </w:r>
          </w:p>
        </w:tc>
      </w:tr>
      <w:tr w:rsidR="00FC31BC" w:rsidRPr="00E97956" w14:paraId="1762F77D" w14:textId="77777777" w:rsidTr="00A64C80">
        <w:trPr>
          <w:trHeight w:val="63"/>
          <w:jc w:val="center"/>
        </w:trPr>
        <w:tc>
          <w:tcPr>
            <w:tcW w:w="957" w:type="dxa"/>
            <w:tcBorders>
              <w:top w:val="single" w:sz="12" w:space="0" w:color="auto"/>
              <w:bottom w:val="single" w:sz="4" w:space="0" w:color="auto"/>
            </w:tcBorders>
            <w:shd w:val="clear" w:color="auto" w:fill="auto"/>
          </w:tcPr>
          <w:p w14:paraId="66527334" w14:textId="77777777" w:rsidR="00FC31BC" w:rsidRPr="00E97956" w:rsidRDefault="00FC31BC" w:rsidP="00E97956">
            <w:pPr>
              <w:jc w:val="center"/>
              <w:rPr>
                <w:rFonts w:cs="Arial"/>
                <w:szCs w:val="22"/>
              </w:rPr>
            </w:pPr>
            <w:r w:rsidRPr="00E97956">
              <w:rPr>
                <w:rFonts w:cs="Arial"/>
                <w:szCs w:val="22"/>
              </w:rPr>
              <w:t>1</w:t>
            </w:r>
          </w:p>
        </w:tc>
        <w:tc>
          <w:tcPr>
            <w:tcW w:w="1701" w:type="dxa"/>
            <w:tcBorders>
              <w:top w:val="single" w:sz="12" w:space="0" w:color="auto"/>
              <w:bottom w:val="single" w:sz="4" w:space="0" w:color="auto"/>
            </w:tcBorders>
            <w:shd w:val="clear" w:color="auto" w:fill="auto"/>
          </w:tcPr>
          <w:p w14:paraId="041A7579" w14:textId="1D7BB213" w:rsidR="00FC31BC" w:rsidRPr="00E97956" w:rsidRDefault="00E97956" w:rsidP="00E97956">
            <w:pPr>
              <w:jc w:val="center"/>
              <w:rPr>
                <w:rFonts w:cs="Arial"/>
                <w:szCs w:val="22"/>
              </w:rPr>
            </w:pPr>
            <w:r w:rsidRPr="00E97956">
              <w:rPr>
                <w:rFonts w:cs="Arial"/>
                <w:szCs w:val="22"/>
              </w:rPr>
              <w:t>2018-05-14</w:t>
            </w:r>
          </w:p>
        </w:tc>
        <w:tc>
          <w:tcPr>
            <w:tcW w:w="2886" w:type="dxa"/>
            <w:tcBorders>
              <w:top w:val="single" w:sz="12" w:space="0" w:color="auto"/>
              <w:bottom w:val="single" w:sz="4" w:space="0" w:color="auto"/>
            </w:tcBorders>
          </w:tcPr>
          <w:p w14:paraId="061965CC" w14:textId="2057DA50" w:rsidR="00FC31BC" w:rsidRPr="00E97956" w:rsidRDefault="004A476A" w:rsidP="00E97956">
            <w:pPr>
              <w:jc w:val="center"/>
              <w:rPr>
                <w:rFonts w:cs="Arial"/>
                <w:szCs w:val="22"/>
              </w:rPr>
            </w:pPr>
            <w:r w:rsidRPr="00E97956">
              <w:rPr>
                <w:rFonts w:cs="Arial"/>
                <w:szCs w:val="22"/>
              </w:rPr>
              <w:t>Michelle Lott</w:t>
            </w:r>
          </w:p>
        </w:tc>
      </w:tr>
      <w:tr w:rsidR="00A64C80" w:rsidRPr="00E97956" w14:paraId="3E924768" w14:textId="77777777" w:rsidTr="00400523">
        <w:trPr>
          <w:trHeight w:val="63"/>
          <w:jc w:val="center"/>
        </w:trPr>
        <w:tc>
          <w:tcPr>
            <w:tcW w:w="957" w:type="dxa"/>
            <w:tcBorders>
              <w:top w:val="single" w:sz="4" w:space="0" w:color="auto"/>
              <w:bottom w:val="single" w:sz="4" w:space="0" w:color="auto"/>
            </w:tcBorders>
            <w:shd w:val="clear" w:color="auto" w:fill="auto"/>
          </w:tcPr>
          <w:p w14:paraId="2283DC0B" w14:textId="0CCA2B30" w:rsidR="00A64C80" w:rsidRPr="00E97956" w:rsidRDefault="00A64C80" w:rsidP="00E97956">
            <w:pPr>
              <w:jc w:val="center"/>
              <w:rPr>
                <w:rFonts w:cs="Arial"/>
                <w:szCs w:val="22"/>
              </w:rPr>
            </w:pPr>
            <w:r>
              <w:rPr>
                <w:rFonts w:cs="Arial"/>
                <w:szCs w:val="22"/>
              </w:rPr>
              <w:t>2</w:t>
            </w:r>
          </w:p>
        </w:tc>
        <w:tc>
          <w:tcPr>
            <w:tcW w:w="1701" w:type="dxa"/>
            <w:tcBorders>
              <w:top w:val="single" w:sz="4" w:space="0" w:color="auto"/>
              <w:bottom w:val="single" w:sz="4" w:space="0" w:color="auto"/>
            </w:tcBorders>
            <w:shd w:val="clear" w:color="auto" w:fill="auto"/>
          </w:tcPr>
          <w:p w14:paraId="379D5BBA" w14:textId="7D50A3C8" w:rsidR="00A64C80" w:rsidRPr="00E97956" w:rsidRDefault="00A64C80" w:rsidP="00E97956">
            <w:pPr>
              <w:jc w:val="center"/>
              <w:rPr>
                <w:rFonts w:cs="Arial"/>
                <w:szCs w:val="22"/>
              </w:rPr>
            </w:pPr>
            <w:r>
              <w:rPr>
                <w:rFonts w:cs="Arial"/>
                <w:szCs w:val="22"/>
              </w:rPr>
              <w:t>2018-09-05</w:t>
            </w:r>
          </w:p>
        </w:tc>
        <w:tc>
          <w:tcPr>
            <w:tcW w:w="2886" w:type="dxa"/>
            <w:tcBorders>
              <w:top w:val="single" w:sz="4" w:space="0" w:color="auto"/>
              <w:bottom w:val="single" w:sz="4" w:space="0" w:color="auto"/>
            </w:tcBorders>
          </w:tcPr>
          <w:p w14:paraId="2AD4BE39" w14:textId="1F80A778" w:rsidR="00A64C80" w:rsidRPr="00E97956" w:rsidRDefault="00A64C80" w:rsidP="00E97956">
            <w:pPr>
              <w:jc w:val="center"/>
              <w:rPr>
                <w:rFonts w:cs="Arial"/>
                <w:szCs w:val="22"/>
              </w:rPr>
            </w:pPr>
            <w:r>
              <w:rPr>
                <w:rFonts w:cs="Arial"/>
                <w:szCs w:val="22"/>
              </w:rPr>
              <w:t>Raines DeMint</w:t>
            </w:r>
          </w:p>
        </w:tc>
      </w:tr>
      <w:tr w:rsidR="00400523" w:rsidRPr="00E97956" w14:paraId="1F3DB7D3" w14:textId="77777777" w:rsidTr="002D1E99">
        <w:trPr>
          <w:trHeight w:val="63"/>
          <w:jc w:val="center"/>
        </w:trPr>
        <w:tc>
          <w:tcPr>
            <w:tcW w:w="957" w:type="dxa"/>
            <w:tcBorders>
              <w:top w:val="single" w:sz="4" w:space="0" w:color="auto"/>
              <w:bottom w:val="single" w:sz="4" w:space="0" w:color="auto"/>
            </w:tcBorders>
            <w:shd w:val="clear" w:color="auto" w:fill="auto"/>
          </w:tcPr>
          <w:p w14:paraId="34876182" w14:textId="1DC1E050" w:rsidR="00400523" w:rsidRDefault="00400523" w:rsidP="00E97956">
            <w:pPr>
              <w:jc w:val="center"/>
              <w:rPr>
                <w:rFonts w:cs="Arial"/>
                <w:szCs w:val="22"/>
              </w:rPr>
            </w:pPr>
            <w:r>
              <w:rPr>
                <w:rFonts w:cs="Arial"/>
                <w:szCs w:val="22"/>
              </w:rPr>
              <w:t>3</w:t>
            </w:r>
          </w:p>
        </w:tc>
        <w:tc>
          <w:tcPr>
            <w:tcW w:w="1701" w:type="dxa"/>
            <w:tcBorders>
              <w:top w:val="single" w:sz="4" w:space="0" w:color="auto"/>
              <w:bottom w:val="single" w:sz="4" w:space="0" w:color="auto"/>
            </w:tcBorders>
            <w:shd w:val="clear" w:color="auto" w:fill="auto"/>
          </w:tcPr>
          <w:p w14:paraId="48B48135" w14:textId="38CD524B" w:rsidR="00400523" w:rsidRDefault="00400523" w:rsidP="00E97956">
            <w:pPr>
              <w:jc w:val="center"/>
              <w:rPr>
                <w:rFonts w:cs="Arial"/>
                <w:szCs w:val="22"/>
              </w:rPr>
            </w:pPr>
            <w:r>
              <w:rPr>
                <w:rFonts w:cs="Arial"/>
                <w:szCs w:val="22"/>
              </w:rPr>
              <w:t>2018-10-10</w:t>
            </w:r>
          </w:p>
        </w:tc>
        <w:tc>
          <w:tcPr>
            <w:tcW w:w="2886" w:type="dxa"/>
            <w:tcBorders>
              <w:top w:val="single" w:sz="4" w:space="0" w:color="auto"/>
              <w:bottom w:val="single" w:sz="4" w:space="0" w:color="auto"/>
            </w:tcBorders>
          </w:tcPr>
          <w:p w14:paraId="4FCDA4F2" w14:textId="2A59A940" w:rsidR="00400523" w:rsidRDefault="00400523" w:rsidP="00E97956">
            <w:pPr>
              <w:jc w:val="center"/>
              <w:rPr>
                <w:rFonts w:cs="Arial"/>
                <w:szCs w:val="22"/>
              </w:rPr>
            </w:pPr>
            <w:r>
              <w:rPr>
                <w:rFonts w:cs="Arial"/>
                <w:szCs w:val="22"/>
              </w:rPr>
              <w:t>Anne Brazeal</w:t>
            </w:r>
          </w:p>
        </w:tc>
      </w:tr>
      <w:tr w:rsidR="002D1E99" w:rsidRPr="00E97956" w14:paraId="7D74CFE8" w14:textId="77777777" w:rsidTr="00A64C80">
        <w:trPr>
          <w:trHeight w:val="63"/>
          <w:jc w:val="center"/>
        </w:trPr>
        <w:tc>
          <w:tcPr>
            <w:tcW w:w="957" w:type="dxa"/>
            <w:tcBorders>
              <w:top w:val="single" w:sz="4" w:space="0" w:color="auto"/>
            </w:tcBorders>
            <w:shd w:val="clear" w:color="auto" w:fill="auto"/>
          </w:tcPr>
          <w:p w14:paraId="41D60DBC" w14:textId="0558E534" w:rsidR="002D1E99" w:rsidRDefault="002D1E99" w:rsidP="00E97956">
            <w:pPr>
              <w:jc w:val="center"/>
              <w:rPr>
                <w:rFonts w:cs="Arial"/>
                <w:szCs w:val="22"/>
              </w:rPr>
            </w:pPr>
            <w:r>
              <w:rPr>
                <w:rFonts w:cs="Arial"/>
                <w:szCs w:val="22"/>
              </w:rPr>
              <w:t>4</w:t>
            </w:r>
          </w:p>
        </w:tc>
        <w:tc>
          <w:tcPr>
            <w:tcW w:w="1701" w:type="dxa"/>
            <w:tcBorders>
              <w:top w:val="single" w:sz="4" w:space="0" w:color="auto"/>
            </w:tcBorders>
            <w:shd w:val="clear" w:color="auto" w:fill="auto"/>
          </w:tcPr>
          <w:p w14:paraId="4BD9CD26" w14:textId="5D9677BF" w:rsidR="002D1E99" w:rsidRDefault="002D1E99" w:rsidP="00E97956">
            <w:pPr>
              <w:jc w:val="center"/>
              <w:rPr>
                <w:rFonts w:cs="Arial"/>
                <w:szCs w:val="22"/>
              </w:rPr>
            </w:pPr>
            <w:r>
              <w:rPr>
                <w:rFonts w:cs="Arial"/>
                <w:szCs w:val="22"/>
              </w:rPr>
              <w:t>2018-11-26</w:t>
            </w:r>
          </w:p>
        </w:tc>
        <w:tc>
          <w:tcPr>
            <w:tcW w:w="2886" w:type="dxa"/>
            <w:tcBorders>
              <w:top w:val="single" w:sz="4" w:space="0" w:color="auto"/>
            </w:tcBorders>
          </w:tcPr>
          <w:p w14:paraId="7D9FFB33" w14:textId="20CFFF58" w:rsidR="002D1E99" w:rsidRDefault="002D1E99" w:rsidP="00E97956">
            <w:pPr>
              <w:jc w:val="center"/>
              <w:rPr>
                <w:rFonts w:cs="Arial"/>
                <w:szCs w:val="22"/>
              </w:rPr>
            </w:pPr>
            <w:r>
              <w:rPr>
                <w:rFonts w:cs="Arial"/>
                <w:szCs w:val="22"/>
              </w:rPr>
              <w:t>Raines DeMint</w:t>
            </w:r>
          </w:p>
        </w:tc>
      </w:tr>
    </w:tbl>
    <w:p w14:paraId="6F46C618" w14:textId="3CF8A7BE" w:rsidR="00437211" w:rsidRPr="00E97956" w:rsidRDefault="00437211" w:rsidP="00E97956">
      <w:pPr>
        <w:jc w:val="center"/>
        <w:rPr>
          <w:rFonts w:cs="Arial"/>
          <w:b/>
          <w:szCs w:val="22"/>
        </w:rPr>
      </w:pPr>
      <w:r w:rsidRPr="00E97956">
        <w:rPr>
          <w:rFonts w:cs="Arial"/>
          <w:b/>
          <w:szCs w:val="22"/>
        </w:rPr>
        <w:br w:type="page"/>
      </w:r>
    </w:p>
    <w:p w14:paraId="2A47F360" w14:textId="1195A448" w:rsidR="006371BE" w:rsidRPr="00E97956" w:rsidRDefault="00437211" w:rsidP="00E97956">
      <w:pPr>
        <w:jc w:val="center"/>
        <w:rPr>
          <w:rFonts w:eastAsia="Arial" w:cs="Arial"/>
          <w:b/>
          <w:bCs/>
          <w:szCs w:val="22"/>
        </w:rPr>
      </w:pPr>
      <w:r w:rsidRPr="00E97956">
        <w:rPr>
          <w:rFonts w:eastAsia="Arial" w:cs="Arial"/>
          <w:b/>
          <w:bCs/>
          <w:szCs w:val="22"/>
        </w:rPr>
        <w:lastRenderedPageBreak/>
        <w:t>APPENDIX A – Customer Complaint Flowchart</w:t>
      </w:r>
    </w:p>
    <w:p w14:paraId="34CC1022" w14:textId="77777777" w:rsidR="00E97956" w:rsidRPr="00E97956" w:rsidRDefault="00E97956" w:rsidP="00E97956">
      <w:pPr>
        <w:jc w:val="center"/>
        <w:rPr>
          <w:rFonts w:eastAsia="Arial" w:cs="Arial"/>
          <w:b/>
          <w:bCs/>
          <w:szCs w:val="22"/>
        </w:rPr>
      </w:pPr>
    </w:p>
    <w:p w14:paraId="227F7674" w14:textId="318D6D9C" w:rsidR="0032142D" w:rsidRPr="00E97956" w:rsidRDefault="00437211" w:rsidP="00E97956">
      <w:pPr>
        <w:rPr>
          <w:rFonts w:cs="Arial"/>
          <w:b/>
          <w:szCs w:val="22"/>
        </w:rPr>
      </w:pPr>
      <w:r w:rsidRPr="00E97956">
        <w:rPr>
          <w:rFonts w:cs="Arial"/>
          <w:b/>
          <w:noProof/>
          <w:szCs w:val="22"/>
          <w:lang w:eastAsia="en-US"/>
        </w:rPr>
        <mc:AlternateContent>
          <mc:Choice Requires="wpc">
            <w:drawing>
              <wp:inline distT="0" distB="0" distL="0" distR="0" wp14:anchorId="04603D08" wp14:editId="6A98ADC3">
                <wp:extent cx="6400800" cy="6897899"/>
                <wp:effectExtent l="0" t="0" r="0" b="0"/>
                <wp:docPr id="8" name="Zone de dessin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ectangle 9"/>
                        <wps:cNvSpPr/>
                        <wps:spPr>
                          <a:xfrm>
                            <a:off x="0" y="8628"/>
                            <a:ext cx="1765188" cy="333954"/>
                          </a:xfrm>
                          <a:prstGeom prst="rect">
                            <a:avLst/>
                          </a:prstGeom>
                          <a:no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7E4735" w14:textId="001B5233" w:rsidR="006007B0" w:rsidRPr="00291D97" w:rsidRDefault="006007B0" w:rsidP="00437211">
                              <w:pPr>
                                <w:jc w:val="center"/>
                                <w:rPr>
                                  <w:rFonts w:cs="Arial"/>
                                  <w:color w:val="000000" w:themeColor="text1"/>
                                  <w:sz w:val="20"/>
                                </w:rPr>
                              </w:pPr>
                              <w:r w:rsidRPr="00291D97">
                                <w:rPr>
                                  <w:rFonts w:cs="Arial"/>
                                  <w:color w:val="000000" w:themeColor="text1"/>
                                  <w:sz w:val="20"/>
                                </w:rPr>
                                <w:t xml:space="preserve">Receive customer </w:t>
                              </w:r>
                              <w:r>
                                <w:rPr>
                                  <w:rFonts w:cs="Arial"/>
                                  <w:color w:val="000000" w:themeColor="text1"/>
                                  <w:sz w:val="20"/>
                                </w:rPr>
                                <w:t>feedback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Rectangle 72"/>
                        <wps:cNvSpPr/>
                        <wps:spPr>
                          <a:xfrm>
                            <a:off x="2131998" y="1189984"/>
                            <a:ext cx="1881201" cy="225079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23B39" w14:textId="68DC57D4" w:rsidR="006007B0" w:rsidRDefault="006007B0" w:rsidP="00437211">
                              <w:pPr>
                                <w:pStyle w:val="NormalWeb"/>
                                <w:spacing w:before="0" w:beforeAutospacing="0" w:after="0" w:afterAutospacing="0"/>
                                <w:jc w:val="center"/>
                                <w:rPr>
                                  <w:rFonts w:eastAsia="Calibri"/>
                                  <w:color w:val="000000"/>
                                  <w:sz w:val="20"/>
                                  <w:szCs w:val="20"/>
                                </w:rPr>
                              </w:pPr>
                              <w:r>
                                <w:rPr>
                                  <w:rFonts w:eastAsia="Calibri"/>
                                  <w:color w:val="000000"/>
                                  <w:sz w:val="20"/>
                                  <w:szCs w:val="20"/>
                                </w:rPr>
                                <w:t>Initiate F-003A,</w:t>
                              </w:r>
                              <w:r w:rsidRPr="00291D97">
                                <w:rPr>
                                  <w:rFonts w:eastAsia="Calibri"/>
                                  <w:color w:val="000000"/>
                                  <w:sz w:val="20"/>
                                  <w:szCs w:val="20"/>
                                </w:rPr>
                                <w:t xml:space="preserve"> Complaint Handling Form, update</w:t>
                              </w:r>
                              <w:r>
                                <w:rPr>
                                  <w:rFonts w:eastAsia="Calibri"/>
                                  <w:color w:val="000000"/>
                                  <w:sz w:val="20"/>
                                  <w:szCs w:val="20"/>
                                </w:rPr>
                                <w:t xml:space="preserve"> F-003B</w:t>
                              </w:r>
                              <w:r w:rsidRPr="00291D97">
                                <w:rPr>
                                  <w:rFonts w:eastAsia="Calibri"/>
                                  <w:color w:val="000000"/>
                                  <w:sz w:val="20"/>
                                  <w:szCs w:val="20"/>
                                </w:rPr>
                                <w:t xml:space="preserve"> </w:t>
                              </w:r>
                              <w:r w:rsidR="00C27928">
                                <w:rPr>
                                  <w:rFonts w:eastAsia="Calibri"/>
                                  <w:color w:val="000000"/>
                                  <w:sz w:val="20"/>
                                  <w:szCs w:val="20"/>
                                </w:rPr>
                                <w:t>Complaint / Feedback Log</w:t>
                              </w:r>
                            </w:p>
                            <w:p w14:paraId="6852846D" w14:textId="7BA40D84" w:rsidR="006007B0" w:rsidRDefault="006007B0" w:rsidP="0021333A">
                              <w:pPr>
                                <w:pStyle w:val="NormalWeb"/>
                                <w:shd w:val="clear" w:color="auto" w:fill="FFFFFF" w:themeFill="background1"/>
                                <w:spacing w:before="0" w:beforeAutospacing="0" w:after="0" w:afterAutospacing="0"/>
                                <w:jc w:val="center"/>
                                <w:rPr>
                                  <w:rFonts w:eastAsia="Calibri"/>
                                  <w:color w:val="000000"/>
                                  <w:sz w:val="20"/>
                                  <w:szCs w:val="20"/>
                                </w:rPr>
                              </w:pPr>
                              <w:r w:rsidRPr="0021333A">
                                <w:rPr>
                                  <w:rFonts w:eastAsia="Calibri"/>
                                  <w:color w:val="000000"/>
                                  <w:sz w:val="20"/>
                                  <w:szCs w:val="20"/>
                                </w:rPr>
                                <w:t>Section</w:t>
                              </w:r>
                              <w:r>
                                <w:rPr>
                                  <w:rFonts w:eastAsia="Calibri"/>
                                  <w:color w:val="000000"/>
                                  <w:sz w:val="20"/>
                                  <w:szCs w:val="20"/>
                                </w:rPr>
                                <w:t xml:space="preserve"> 1: General Information</w:t>
                              </w:r>
                            </w:p>
                            <w:p w14:paraId="5FA78E6B" w14:textId="4402053A" w:rsidR="006007B0" w:rsidRPr="0021333A" w:rsidRDefault="006007B0" w:rsidP="0021333A">
                              <w:pPr>
                                <w:pStyle w:val="NormalWeb"/>
                                <w:shd w:val="clear" w:color="auto" w:fill="FFFFFF" w:themeFill="background1"/>
                                <w:spacing w:before="0" w:beforeAutospacing="0" w:after="0" w:afterAutospacing="0"/>
                                <w:jc w:val="center"/>
                                <w:rPr>
                                  <w:rFonts w:eastAsia="Calibri"/>
                                  <w:color w:val="000000"/>
                                  <w:sz w:val="20"/>
                                  <w:szCs w:val="20"/>
                                </w:rPr>
                              </w:pPr>
                              <w:r>
                                <w:rPr>
                                  <w:rFonts w:eastAsia="Calibri"/>
                                  <w:color w:val="000000"/>
                                  <w:sz w:val="20"/>
                                  <w:szCs w:val="20"/>
                                </w:rPr>
                                <w:t>Section 2: Complaint Evaluation (including Regulatory Reporting Decision Tree)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 name="Rectangle 77"/>
                        <wps:cNvSpPr/>
                        <wps:spPr>
                          <a:xfrm>
                            <a:off x="4586261" y="3926479"/>
                            <a:ext cx="1764665" cy="3314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06EB5" w14:textId="35603ACC"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 xml:space="preserve">Prepare FDA Form 3500A using FDA </w:t>
                              </w:r>
                              <w:proofErr w:type="spellStart"/>
                              <w:r w:rsidRPr="00291D97">
                                <w:rPr>
                                  <w:rFonts w:eastAsia="Calibri"/>
                                  <w:color w:val="000000"/>
                                  <w:sz w:val="20"/>
                                  <w:szCs w:val="20"/>
                                </w:rPr>
                                <w:t>eSubmitter</w:t>
                              </w:r>
                              <w:proofErr w:type="spellEnd"/>
                              <w:r w:rsidRPr="00291D97">
                                <w:rPr>
                                  <w:rFonts w:eastAsia="Calibri"/>
                                  <w:color w:val="000000"/>
                                  <w:sz w:val="20"/>
                                  <w:szCs w:val="20"/>
                                </w:rPr>
                                <w:t xml:space="preserve"> tool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Rectangle 78"/>
                        <wps:cNvSpPr/>
                        <wps:spPr>
                          <a:xfrm>
                            <a:off x="4586261" y="4720783"/>
                            <a:ext cx="1764665" cy="49751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883D8" w14:textId="73AEF30A"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Attach supporting files/legal disclaimers using the “Package Files” option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Rectangle 79"/>
                        <wps:cNvSpPr/>
                        <wps:spPr>
                          <a:xfrm>
                            <a:off x="4586261" y="5540547"/>
                            <a:ext cx="1764665" cy="6396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B0400A" w14:textId="24C05721"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 xml:space="preserve">Log onto the Electronic Submissions Gateway and submit the </w:t>
                              </w:r>
                              <w:proofErr w:type="spellStart"/>
                              <w:r w:rsidRPr="00291D97">
                                <w:rPr>
                                  <w:rFonts w:eastAsia="Calibri"/>
                                  <w:color w:val="000000"/>
                                  <w:sz w:val="20"/>
                                  <w:szCs w:val="20"/>
                                </w:rPr>
                                <w:t>eMDR</w:t>
                              </w:r>
                              <w:proofErr w:type="spellEnd"/>
                              <w:r w:rsidRPr="00291D97">
                                <w:rPr>
                                  <w:rFonts w:eastAsia="Calibri"/>
                                  <w:color w:val="000000"/>
                                  <w:sz w:val="20"/>
                                  <w:szCs w:val="20"/>
                                </w:rPr>
                                <w:t xml:space="preserve"> package using “Send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0" name="Rectangle 80"/>
                        <wps:cNvSpPr/>
                        <wps:spPr>
                          <a:xfrm>
                            <a:off x="4586261" y="6373246"/>
                            <a:ext cx="1764665" cy="49733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EE040" w14:textId="7B2B746E"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Receive three (3) acknowledgments for the submission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1" name="Rectangle 81"/>
                        <wps:cNvSpPr/>
                        <wps:spPr>
                          <a:xfrm>
                            <a:off x="2131998" y="5312291"/>
                            <a:ext cx="1764665" cy="63948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920C08" w14:textId="24A00979"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Follow Purchasing and Supplier Controls procedure if necessary, document in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Rectangle 82"/>
                        <wps:cNvSpPr/>
                        <wps:spPr>
                          <a:xfrm>
                            <a:off x="2131998" y="3784044"/>
                            <a:ext cx="1764665" cy="58983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D0DB6" w14:textId="0D3FA433" w:rsidR="006007B0" w:rsidRPr="00291D97" w:rsidRDefault="006007B0" w:rsidP="00C64741">
                              <w:pPr>
                                <w:pStyle w:val="NormalWeb"/>
                                <w:spacing w:before="0" w:beforeAutospacing="0" w:after="0" w:afterAutospacing="0"/>
                                <w:jc w:val="center"/>
                              </w:pPr>
                              <w:r>
                                <w:rPr>
                                  <w:rFonts w:eastAsia="Calibri"/>
                                  <w:color w:val="000000"/>
                                  <w:sz w:val="20"/>
                                  <w:szCs w:val="20"/>
                                </w:rPr>
                                <w:t>IsoRay (Contract Manufacturer)</w:t>
                              </w:r>
                              <w:r w:rsidRPr="00291D97">
                                <w:rPr>
                                  <w:rFonts w:eastAsia="Calibri"/>
                                  <w:color w:val="000000"/>
                                  <w:sz w:val="20"/>
                                  <w:szCs w:val="20"/>
                                </w:rPr>
                                <w:t xml:space="preserve"> to investigate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3" name="Rectangle 83"/>
                        <wps:cNvSpPr/>
                        <wps:spPr>
                          <a:xfrm>
                            <a:off x="0" y="4879722"/>
                            <a:ext cx="1764665" cy="49742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EEAF05" w14:textId="2C38FA61"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Resolve complaint; continue documenting in Complaint Handling Form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4" name="Rectangle 84"/>
                        <wps:cNvSpPr/>
                        <wps:spPr>
                          <a:xfrm>
                            <a:off x="0" y="5702163"/>
                            <a:ext cx="1764665" cy="33189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59726" w14:textId="1F256C60" w:rsidR="006007B0" w:rsidRPr="00291D97" w:rsidRDefault="006007B0" w:rsidP="00C64741">
                              <w:pPr>
                                <w:pStyle w:val="NormalWeb"/>
                                <w:spacing w:before="0" w:beforeAutospacing="0" w:after="0" w:afterAutospacing="0"/>
                                <w:jc w:val="center"/>
                              </w:pPr>
                              <w:r>
                                <w:rPr>
                                  <w:rFonts w:eastAsia="Calibri"/>
                                  <w:color w:val="000000"/>
                                  <w:sz w:val="20"/>
                                  <w:szCs w:val="20"/>
                                </w:rPr>
                                <w:t>Operations</w:t>
                              </w:r>
                              <w:r w:rsidRPr="00291D97">
                                <w:rPr>
                                  <w:rFonts w:eastAsia="Calibri"/>
                                  <w:color w:val="000000"/>
                                  <w:sz w:val="20"/>
                                  <w:szCs w:val="20"/>
                                </w:rPr>
                                <w:t xml:space="preserve"> corresponds with customer if necessary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5" name="Rectangle 85"/>
                        <wps:cNvSpPr/>
                        <wps:spPr>
                          <a:xfrm>
                            <a:off x="524" y="6364809"/>
                            <a:ext cx="1764665" cy="497549"/>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162A6" w14:textId="5F095D67"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Close Complaint File; include all documents produced in response to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Connecteur droit avec flèche 10"/>
                        <wps:cNvCnPr>
                          <a:stCxn id="9" idx="2"/>
                        </wps:cNvCnPr>
                        <wps:spPr>
                          <a:xfrm>
                            <a:off x="882594" y="342580"/>
                            <a:ext cx="787" cy="273397"/>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Connecteur en angle 11"/>
                        <wps:cNvCnPr>
                          <a:stCxn id="39" idx="3"/>
                          <a:endCxn id="72" idx="0"/>
                        </wps:cNvCnPr>
                        <wps:spPr>
                          <a:xfrm>
                            <a:off x="1764665" y="782034"/>
                            <a:ext cx="1307934" cy="407950"/>
                          </a:xfrm>
                          <a:prstGeom prst="bentConnector2">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1" name="Connecteur droit avec flèche 91"/>
                        <wps:cNvCnPr>
                          <a:endCxn id="82" idx="0"/>
                        </wps:cNvCnPr>
                        <wps:spPr>
                          <a:xfrm>
                            <a:off x="3014331" y="3441226"/>
                            <a:ext cx="0" cy="342818"/>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2" name="Connecteur en angle 92"/>
                        <wps:cNvCnPr>
                          <a:endCxn id="36" idx="0"/>
                        </wps:cNvCnPr>
                        <wps:spPr>
                          <a:xfrm>
                            <a:off x="3896663" y="3050091"/>
                            <a:ext cx="1571931" cy="142811"/>
                          </a:xfrm>
                          <a:prstGeom prst="bentConnector2">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Connecteur droit avec flèche 94"/>
                        <wps:cNvCnPr>
                          <a:stCxn id="83" idx="2"/>
                          <a:endCxn id="84" idx="0"/>
                        </wps:cNvCnPr>
                        <wps:spPr>
                          <a:xfrm>
                            <a:off x="882333" y="5377151"/>
                            <a:ext cx="0" cy="325012"/>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Connecteur droit avec flèche 95"/>
                        <wps:cNvCnPr>
                          <a:stCxn id="84" idx="2"/>
                          <a:endCxn id="85" idx="0"/>
                        </wps:cNvCnPr>
                        <wps:spPr>
                          <a:xfrm>
                            <a:off x="882333" y="6034061"/>
                            <a:ext cx="524" cy="330748"/>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6" name="Connecteur en angle 96"/>
                        <wps:cNvCnPr>
                          <a:stCxn id="80" idx="1"/>
                          <a:endCxn id="82" idx="3"/>
                        </wps:cNvCnPr>
                        <wps:spPr>
                          <a:xfrm rot="10800000">
                            <a:off x="3896663" y="4078962"/>
                            <a:ext cx="689598" cy="2542950"/>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97"/>
                        <wps:cNvCnPr>
                          <a:stCxn id="82" idx="2"/>
                          <a:endCxn id="81" idx="0"/>
                        </wps:cNvCnPr>
                        <wps:spPr>
                          <a:xfrm>
                            <a:off x="3014331" y="4373880"/>
                            <a:ext cx="0" cy="938411"/>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0" name="Rectangle 100"/>
                        <wps:cNvSpPr/>
                        <wps:spPr>
                          <a:xfrm>
                            <a:off x="1764665" y="553447"/>
                            <a:ext cx="473142" cy="225501"/>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64DCE6" w14:textId="14BA281F" w:rsidR="006007B0" w:rsidRPr="00291D97" w:rsidRDefault="006007B0" w:rsidP="00D3573F">
                              <w:pPr>
                                <w:pStyle w:val="NormalWeb"/>
                                <w:spacing w:before="0" w:beforeAutospacing="0" w:after="0" w:afterAutospacing="0"/>
                                <w:jc w:val="center"/>
                              </w:pPr>
                              <w:r w:rsidRPr="00291D97">
                                <w:rPr>
                                  <w:rFonts w:eastAsia="Calibri"/>
                                  <w:color w:val="000000"/>
                                  <w:sz w:val="20"/>
                                  <w:szCs w:val="20"/>
                                </w:rPr>
                                <w:t>Yes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Rectangle 101"/>
                        <wps:cNvSpPr/>
                        <wps:spPr>
                          <a:xfrm>
                            <a:off x="549439" y="948091"/>
                            <a:ext cx="473075" cy="225425"/>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3AAE8A" w14:textId="60DCB67D" w:rsidR="006007B0" w:rsidRPr="00291D97" w:rsidRDefault="006007B0" w:rsidP="00D3573F">
                              <w:pPr>
                                <w:pStyle w:val="NormalWeb"/>
                                <w:spacing w:before="0" w:beforeAutospacing="0" w:after="0" w:afterAutospacing="0"/>
                                <w:jc w:val="center"/>
                              </w:pPr>
                              <w:r w:rsidRPr="00291D97">
                                <w:rPr>
                                  <w:rFonts w:eastAsia="Calibri"/>
                                  <w:color w:val="000000"/>
                                  <w:sz w:val="20"/>
                                  <w:szCs w:val="20"/>
                                </w:rPr>
                                <w:t>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 name="Rectangle 102"/>
                        <wps:cNvSpPr/>
                        <wps:spPr>
                          <a:xfrm>
                            <a:off x="3896662" y="2824549"/>
                            <a:ext cx="924405" cy="225539"/>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F6B242" w14:textId="2B6A8493" w:rsidR="006007B0" w:rsidRPr="00291D97" w:rsidRDefault="006007B0" w:rsidP="00D3573F">
                              <w:pPr>
                                <w:pStyle w:val="NormalWeb"/>
                                <w:spacing w:before="0" w:beforeAutospacing="0" w:after="0" w:afterAutospacing="0"/>
                                <w:jc w:val="center"/>
                              </w:pPr>
                              <w:r w:rsidRPr="00291D97">
                                <w:rPr>
                                  <w:rFonts w:eastAsia="Calibri"/>
                                  <w:color w:val="000000"/>
                                  <w:sz w:val="20"/>
                                  <w:szCs w:val="20"/>
                                </w:rPr>
                                <w:t>Reportable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3" name="Rectangle 103"/>
                        <wps:cNvSpPr/>
                        <wps:spPr>
                          <a:xfrm>
                            <a:off x="2674342" y="3442075"/>
                            <a:ext cx="473075" cy="224790"/>
                          </a:xfrm>
                          <a:prstGeom prst="rect">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36AC27" w14:textId="77777777" w:rsidR="006007B0" w:rsidRPr="00291D97" w:rsidRDefault="006007B0" w:rsidP="00D3573F">
                              <w:pPr>
                                <w:pStyle w:val="NormalWeb"/>
                                <w:spacing w:before="0" w:beforeAutospacing="0" w:after="0" w:afterAutospacing="0"/>
                                <w:jc w:val="center"/>
                              </w:pPr>
                              <w:r w:rsidRPr="00291D97">
                                <w:rPr>
                                  <w:rFonts w:eastAsia="Calibri"/>
                                  <w:color w:val="000000"/>
                                  <w:sz w:val="20"/>
                                  <w:szCs w:val="20"/>
                                </w:rPr>
                                <w:t>No</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Connecteur droit avec flèche 104"/>
                        <wps:cNvCnPr>
                          <a:stCxn id="36" idx="2"/>
                          <a:endCxn id="77" idx="0"/>
                        </wps:cNvCnPr>
                        <wps:spPr>
                          <a:xfrm>
                            <a:off x="5468594" y="3678780"/>
                            <a:ext cx="0" cy="247699"/>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a:stCxn id="78" idx="2"/>
                          <a:endCxn id="79" idx="0"/>
                        </wps:cNvCnPr>
                        <wps:spPr>
                          <a:xfrm>
                            <a:off x="5468594" y="5218296"/>
                            <a:ext cx="0" cy="322251"/>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Connecteur droit avec flèche 106"/>
                        <wps:cNvCnPr>
                          <a:stCxn id="79" idx="2"/>
                          <a:endCxn id="80" idx="0"/>
                        </wps:cNvCnPr>
                        <wps:spPr>
                          <a:xfrm>
                            <a:off x="5468594" y="6180197"/>
                            <a:ext cx="0" cy="193049"/>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4586261" y="3192902"/>
                            <a:ext cx="1764665" cy="48587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A53C6" w14:textId="5DFAF719" w:rsidR="006007B0" w:rsidRPr="00CF0927" w:rsidRDefault="006007B0" w:rsidP="00CF0927">
                              <w:pPr>
                                <w:pStyle w:val="NormalWeb"/>
                                <w:spacing w:before="0" w:beforeAutospacing="0" w:after="0" w:afterAutospacing="0"/>
                                <w:jc w:val="center"/>
                              </w:pPr>
                              <w:r w:rsidRPr="00CF0927">
                                <w:rPr>
                                  <w:rFonts w:eastAsia="Calibri"/>
                                  <w:color w:val="000000"/>
                                  <w:sz w:val="20"/>
                                  <w:szCs w:val="20"/>
                                </w:rPr>
                                <w:t xml:space="preserve">Inform </w:t>
                              </w:r>
                              <w:r>
                                <w:rPr>
                                  <w:rFonts w:eastAsia="Calibri"/>
                                  <w:color w:val="000000"/>
                                  <w:sz w:val="20"/>
                                  <w:szCs w:val="20"/>
                                </w:rPr>
                                <w:t>the RAQA consultant</w:t>
                              </w:r>
                              <w:r w:rsidRPr="00CF0927">
                                <w:rPr>
                                  <w:rFonts w:eastAsia="Calibri"/>
                                  <w:color w:val="000000"/>
                                  <w:sz w:val="20"/>
                                  <w:szCs w:val="20"/>
                                </w:rPr>
                                <w:t xml:space="preserve"> to </w:t>
                              </w:r>
                              <w:r>
                                <w:rPr>
                                  <w:rFonts w:eastAsia="Calibri"/>
                                  <w:color w:val="000000"/>
                                  <w:sz w:val="20"/>
                                  <w:szCs w:val="20"/>
                                </w:rPr>
                                <w:t>conduct the following</w:t>
                              </w:r>
                              <w:r w:rsidRPr="00CF0927">
                                <w:rPr>
                                  <w:rFonts w:eastAsia="Calibri"/>
                                  <w:color w:val="000000"/>
                                  <w:sz w:val="20"/>
                                  <w:szCs w:val="20"/>
                                </w:rPr>
                                <w:t xml:space="preserve"> </w:t>
                              </w:r>
                              <w:r>
                                <w:rPr>
                                  <w:rFonts w:eastAsia="Calibri"/>
                                  <w:color w:val="000000"/>
                                  <w:sz w:val="20"/>
                                  <w:szCs w:val="20"/>
                                </w:rPr>
                                <w:t>on behalf of GT Medical: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 name="Connecteur droit avec flèche 37"/>
                        <wps:cNvCnPr>
                          <a:stCxn id="77" idx="2"/>
                          <a:endCxn id="78" idx="0"/>
                        </wps:cNvCnPr>
                        <wps:spPr>
                          <a:xfrm>
                            <a:off x="5468594" y="4257949"/>
                            <a:ext cx="0" cy="462834"/>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Connecteur en angle 96"/>
                        <wps:cNvCnPr>
                          <a:stCxn id="81" idx="1"/>
                          <a:endCxn id="83" idx="3"/>
                        </wps:cNvCnPr>
                        <wps:spPr>
                          <a:xfrm rot="10800000">
                            <a:off x="1764666" y="5128395"/>
                            <a:ext cx="367333" cy="503594"/>
                          </a:xfrm>
                          <a:prstGeom prst="bentConnector3">
                            <a:avLst>
                              <a:gd name="adj1" fmla="val 50000"/>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0" y="615981"/>
                            <a:ext cx="1764665" cy="33210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F0D7A" w14:textId="6E6E2788" w:rsidR="006007B0" w:rsidRDefault="006007B0" w:rsidP="0091178A">
                              <w:pPr>
                                <w:pStyle w:val="NormalWeb"/>
                                <w:spacing w:before="0" w:beforeAutospacing="0" w:after="0" w:afterAutospacing="0"/>
                                <w:jc w:val="center"/>
                              </w:pPr>
                              <w:r>
                                <w:rPr>
                                  <w:rFonts w:eastAsia="Calibri"/>
                                  <w:color w:val="000000"/>
                                  <w:sz w:val="20"/>
                                  <w:szCs w:val="20"/>
                                </w:rPr>
                                <w:t>Is the feedback classified as a device complaint?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Connecteur droit avec flèche 10"/>
                        <wps:cNvCnPr>
                          <a:stCxn id="39" idx="2"/>
                          <a:endCxn id="42" idx="0"/>
                        </wps:cNvCnPr>
                        <wps:spPr>
                          <a:xfrm>
                            <a:off x="882333" y="948080"/>
                            <a:ext cx="0" cy="535938"/>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0" y="1484028"/>
                            <a:ext cx="1764665" cy="33147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0A350" w14:textId="4546BB67" w:rsidR="006007B0" w:rsidRPr="0091178A" w:rsidRDefault="006007B0" w:rsidP="0091178A">
                              <w:pPr>
                                <w:pStyle w:val="NormalWeb"/>
                                <w:spacing w:before="0" w:beforeAutospacing="0" w:after="0" w:afterAutospacing="0"/>
                                <w:jc w:val="center"/>
                              </w:pPr>
                              <w:r w:rsidRPr="0091178A">
                                <w:rPr>
                                  <w:rFonts w:eastAsia="Calibri"/>
                                  <w:color w:val="000000"/>
                                  <w:sz w:val="20"/>
                                  <w:szCs w:val="20"/>
                                </w:rPr>
                                <w:t xml:space="preserve">Handle </w:t>
                              </w:r>
                              <w:r>
                                <w:rPr>
                                  <w:rFonts w:eastAsia="Calibri"/>
                                  <w:color w:val="000000"/>
                                  <w:sz w:val="20"/>
                                  <w:szCs w:val="20"/>
                                </w:rPr>
                                <w:t>outside of complaint process</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04603D08" id="Zone de dessin 8" o:spid="_x0000_s1026" editas="canvas" style="width:7in;height:543.15pt;mso-position-horizontal-relative:char;mso-position-vertical-relative:line" coordsize="64008,6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68973;visibility:visible;mso-wrap-style:square">
                  <v:fill o:detectmouseclick="t"/>
                  <v:path o:connecttype="none"/>
                </v:shape>
                <v:rect id="Rectangle 9" o:spid="_x0000_s1028" style="position:absolute;top:86;width:17651;height:3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" filled="f" strokecolor="#365f91 [2404]" strokeweight="1.5pt">
                  <v:textbox inset="0,0,0,0">
                    <w:txbxContent>
                      <w:p w14:paraId="6E7E4735" w14:textId="001B5233" w:rsidR="006007B0" w:rsidRPr="00291D97" w:rsidRDefault="006007B0" w:rsidP="00437211">
                        <w:pPr>
                          <w:jc w:val="center"/>
                          <w:rPr>
                            <w:rFonts w:cs="Arial"/>
                            <w:color w:val="000000" w:themeColor="text1"/>
                            <w:sz w:val="20"/>
                          </w:rPr>
                        </w:pPr>
                        <w:r w:rsidRPr="00291D97">
                          <w:rPr>
                            <w:rFonts w:cs="Arial"/>
                            <w:color w:val="000000" w:themeColor="text1"/>
                            <w:sz w:val="20"/>
                          </w:rPr>
                          <w:t xml:space="preserve">Receive customer </w:t>
                        </w:r>
                        <w:r>
                          <w:rPr>
                            <w:rFonts w:cs="Arial"/>
                            <w:color w:val="000000" w:themeColor="text1"/>
                            <w:sz w:val="20"/>
                          </w:rPr>
                          <w:t>feedback</w:t>
                        </w:r>
                      </w:p>
                    </w:txbxContent>
                  </v:textbox>
                </v:rect>
                <v:rect id="Rectangle 72" o:spid="_x0000_s1029" style="position:absolute;left:21319;top:11899;width:18812;height:2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" filled="f" strokecolor="black [3213]" strokeweight=".25pt">
                  <v:textbox inset="0,0,0,0">
                    <w:txbxContent>
                      <w:p w14:paraId="7B623B39" w14:textId="68DC57D4" w:rsidR="006007B0" w:rsidRDefault="006007B0" w:rsidP="00437211">
                        <w:pPr>
                          <w:pStyle w:val="NormalWeb"/>
                          <w:spacing w:before="0" w:beforeAutospacing="0" w:after="0" w:afterAutospacing="0"/>
                          <w:jc w:val="center"/>
                          <w:rPr>
                            <w:rFonts w:eastAsia="Calibri"/>
                            <w:color w:val="000000"/>
                            <w:sz w:val="20"/>
                            <w:szCs w:val="20"/>
                          </w:rPr>
                        </w:pPr>
                        <w:r>
                          <w:rPr>
                            <w:rFonts w:eastAsia="Calibri"/>
                            <w:color w:val="000000"/>
                            <w:sz w:val="20"/>
                            <w:szCs w:val="20"/>
                          </w:rPr>
                          <w:t>Initiate F-003A,</w:t>
                        </w:r>
                        <w:r w:rsidRPr="00291D97">
                          <w:rPr>
                            <w:rFonts w:eastAsia="Calibri"/>
                            <w:color w:val="000000"/>
                            <w:sz w:val="20"/>
                            <w:szCs w:val="20"/>
                          </w:rPr>
                          <w:t xml:space="preserve"> Complaint Handling Form, update</w:t>
                        </w:r>
                        <w:r>
                          <w:rPr>
                            <w:rFonts w:eastAsia="Calibri"/>
                            <w:color w:val="000000"/>
                            <w:sz w:val="20"/>
                            <w:szCs w:val="20"/>
                          </w:rPr>
                          <w:t xml:space="preserve"> F-003B</w:t>
                        </w:r>
                        <w:r w:rsidRPr="00291D97">
                          <w:rPr>
                            <w:rFonts w:eastAsia="Calibri"/>
                            <w:color w:val="000000"/>
                            <w:sz w:val="20"/>
                            <w:szCs w:val="20"/>
                          </w:rPr>
                          <w:t xml:space="preserve"> </w:t>
                        </w:r>
                        <w:r w:rsidR="00C27928">
                          <w:rPr>
                            <w:rFonts w:eastAsia="Calibri"/>
                            <w:color w:val="000000"/>
                            <w:sz w:val="20"/>
                            <w:szCs w:val="20"/>
                          </w:rPr>
                          <w:t>Complaint / Feedback Log</w:t>
                        </w:r>
                      </w:p>
                      <w:p w14:paraId="6852846D" w14:textId="7BA40D84" w:rsidR="006007B0" w:rsidRDefault="006007B0" w:rsidP="0021333A">
                        <w:pPr>
                          <w:pStyle w:val="NormalWeb"/>
                          <w:shd w:val="clear" w:color="auto" w:fill="FFFFFF" w:themeFill="background1"/>
                          <w:spacing w:before="0" w:beforeAutospacing="0" w:after="0" w:afterAutospacing="0"/>
                          <w:jc w:val="center"/>
                          <w:rPr>
                            <w:rFonts w:eastAsia="Calibri"/>
                            <w:color w:val="000000"/>
                            <w:sz w:val="20"/>
                            <w:szCs w:val="20"/>
                          </w:rPr>
                        </w:pPr>
                        <w:r w:rsidRPr="0021333A">
                          <w:rPr>
                            <w:rFonts w:eastAsia="Calibri"/>
                            <w:color w:val="000000"/>
                            <w:sz w:val="20"/>
                            <w:szCs w:val="20"/>
                          </w:rPr>
                          <w:t>Section</w:t>
                        </w:r>
                        <w:r>
                          <w:rPr>
                            <w:rFonts w:eastAsia="Calibri"/>
                            <w:color w:val="000000"/>
                            <w:sz w:val="20"/>
                            <w:szCs w:val="20"/>
                          </w:rPr>
                          <w:t xml:space="preserve"> 1: General Information</w:t>
                        </w:r>
                      </w:p>
                      <w:p w14:paraId="5FA78E6B" w14:textId="4402053A" w:rsidR="006007B0" w:rsidRPr="0021333A" w:rsidRDefault="006007B0" w:rsidP="0021333A">
                        <w:pPr>
                          <w:pStyle w:val="NormalWeb"/>
                          <w:shd w:val="clear" w:color="auto" w:fill="FFFFFF" w:themeFill="background1"/>
                          <w:spacing w:before="0" w:beforeAutospacing="0" w:after="0" w:afterAutospacing="0"/>
                          <w:jc w:val="center"/>
                          <w:rPr>
                            <w:rFonts w:eastAsia="Calibri"/>
                            <w:color w:val="000000"/>
                            <w:sz w:val="20"/>
                            <w:szCs w:val="20"/>
                          </w:rPr>
                        </w:pPr>
                        <w:r>
                          <w:rPr>
                            <w:rFonts w:eastAsia="Calibri"/>
                            <w:color w:val="000000"/>
                            <w:sz w:val="20"/>
                            <w:szCs w:val="20"/>
                          </w:rPr>
                          <w:t>Section 2: Complaint Evaluation (including Regulatory Reporting Decision Tree)</w:t>
                        </w:r>
                      </w:p>
                    </w:txbxContent>
                  </v:textbox>
                </v:rect>
                <v:rect id="Rectangle 77" o:spid="_x0000_s1030" style="position:absolute;left:45862;top:39264;width:1764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" filled="f" strokecolor="black [3213]" strokeweight=".25pt">
                  <v:textbox inset="0,0,0,0">
                    <w:txbxContent>
                      <w:p w14:paraId="13406EB5" w14:textId="35603ACC"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 xml:space="preserve">Prepare FDA Form 3500A using FDA </w:t>
                        </w:r>
                        <w:proofErr w:type="spellStart"/>
                        <w:r w:rsidRPr="00291D97">
                          <w:rPr>
                            <w:rFonts w:eastAsia="Calibri"/>
                            <w:color w:val="000000"/>
                            <w:sz w:val="20"/>
                            <w:szCs w:val="20"/>
                          </w:rPr>
                          <w:t>eSubmitter</w:t>
                        </w:r>
                        <w:proofErr w:type="spellEnd"/>
                        <w:r w:rsidRPr="00291D97">
                          <w:rPr>
                            <w:rFonts w:eastAsia="Calibri"/>
                            <w:color w:val="000000"/>
                            <w:sz w:val="20"/>
                            <w:szCs w:val="20"/>
                          </w:rPr>
                          <w:t xml:space="preserve"> tool</w:t>
                        </w:r>
                      </w:p>
                    </w:txbxContent>
                  </v:textbox>
                </v:rect>
                <v:rect id="Rectangle 78" o:spid="_x0000_s1031" style="position:absolute;left:45862;top:47207;width:17647;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" filled="f" strokecolor="black [3213]" strokeweight=".25pt">
                  <v:textbox inset="0,0,0,0">
                    <w:txbxContent>
                      <w:p w14:paraId="54D883D8" w14:textId="73AEF30A"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Attach supporting files/legal disclaimers using the “Package Files” option</w:t>
                        </w:r>
                      </w:p>
                    </w:txbxContent>
                  </v:textbox>
                </v:rect>
                <v:rect id="Rectangle 79" o:spid="_x0000_s1032" style="position:absolute;left:45862;top:55405;width:17647;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" filled="f" strokecolor="black [3213]" strokeweight=".25pt">
                  <v:textbox inset="0,0,0,0">
                    <w:txbxContent>
                      <w:p w14:paraId="50B0400A" w14:textId="24C05721"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 xml:space="preserve">Log onto the Electronic Submissions Gateway and submit the </w:t>
                        </w:r>
                        <w:proofErr w:type="spellStart"/>
                        <w:r w:rsidRPr="00291D97">
                          <w:rPr>
                            <w:rFonts w:eastAsia="Calibri"/>
                            <w:color w:val="000000"/>
                            <w:sz w:val="20"/>
                            <w:szCs w:val="20"/>
                          </w:rPr>
                          <w:t>eMDR</w:t>
                        </w:r>
                        <w:proofErr w:type="spellEnd"/>
                        <w:r w:rsidRPr="00291D97">
                          <w:rPr>
                            <w:rFonts w:eastAsia="Calibri"/>
                            <w:color w:val="000000"/>
                            <w:sz w:val="20"/>
                            <w:szCs w:val="20"/>
                          </w:rPr>
                          <w:t xml:space="preserve"> package using “Send File”</w:t>
                        </w:r>
                      </w:p>
                    </w:txbxContent>
                  </v:textbox>
                </v:rect>
                <v:rect id="Rectangle 80" o:spid="_x0000_s1033" style="position:absolute;left:45862;top:63732;width:17647;height:4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" filled="f" strokecolor="black [3213]" strokeweight=".25pt">
                  <v:textbox inset="0,0,0,0">
                    <w:txbxContent>
                      <w:p w14:paraId="702EE040" w14:textId="7B2B746E"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Receive three (3) acknowledgments for the submission</w:t>
                        </w:r>
                      </w:p>
                    </w:txbxContent>
                  </v:textbox>
                </v:rect>
                <v:rect id="Rectangle 81" o:spid="_x0000_s1034" style="position:absolute;left:21319;top:53122;width:17647;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" filled="f" strokecolor="black [3213]" strokeweight=".25pt">
                  <v:textbox inset="0,0,0,0">
                    <w:txbxContent>
                      <w:p w14:paraId="09920C08" w14:textId="24A00979"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Follow Purchasing and Supplier Controls procedure if necessary, document in Complaint Handling Form</w:t>
                        </w:r>
                      </w:p>
                    </w:txbxContent>
                  </v:textbox>
                </v:rect>
                <v:rect id="Rectangle 82" o:spid="_x0000_s1035" style="position:absolute;left:21319;top:37840;width:17647;height:5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" filled="f" strokecolor="black [3213]" strokeweight=".25pt">
                  <v:textbox inset="0,0,0,0">
                    <w:txbxContent>
                      <w:p w14:paraId="6CED0DB6" w14:textId="0D3FA433" w:rsidR="006007B0" w:rsidRPr="00291D97" w:rsidRDefault="006007B0" w:rsidP="00C64741">
                        <w:pPr>
                          <w:pStyle w:val="NormalWeb"/>
                          <w:spacing w:before="0" w:beforeAutospacing="0" w:after="0" w:afterAutospacing="0"/>
                          <w:jc w:val="center"/>
                        </w:pPr>
                        <w:r>
                          <w:rPr>
                            <w:rFonts w:eastAsia="Calibri"/>
                            <w:color w:val="000000"/>
                            <w:sz w:val="20"/>
                            <w:szCs w:val="20"/>
                          </w:rPr>
                          <w:t>IsoRay (Contract Manufacturer)</w:t>
                        </w:r>
                        <w:r w:rsidRPr="00291D97">
                          <w:rPr>
                            <w:rFonts w:eastAsia="Calibri"/>
                            <w:color w:val="000000"/>
                            <w:sz w:val="20"/>
                            <w:szCs w:val="20"/>
                          </w:rPr>
                          <w:t xml:space="preserve"> to investigate complaint</w:t>
                        </w:r>
                      </w:p>
                    </w:txbxContent>
                  </v:textbox>
                </v:rect>
                <v:rect id="Rectangle 83" o:spid="_x0000_s1036" style="position:absolute;top:48797;width:17646;height:4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" filled="f" strokecolor="black [3213]" strokeweight=".25pt">
                  <v:textbox inset="0,0,0,0">
                    <w:txbxContent>
                      <w:p w14:paraId="03EEAF05" w14:textId="2C38FA61"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Resolve complaint; continue documenting in Complaint Handling Form</w:t>
                        </w:r>
                      </w:p>
                    </w:txbxContent>
                  </v:textbox>
                </v:rect>
                <v:rect id="Rectangle 84" o:spid="_x0000_s1037" style="position:absolute;top:57021;width:17646;height:3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" filled="f" strokecolor="black [3213]" strokeweight=".25pt">
                  <v:textbox inset="0,0,0,0">
                    <w:txbxContent>
                      <w:p w14:paraId="44759726" w14:textId="1F256C60" w:rsidR="006007B0" w:rsidRPr="00291D97" w:rsidRDefault="006007B0" w:rsidP="00C64741">
                        <w:pPr>
                          <w:pStyle w:val="NormalWeb"/>
                          <w:spacing w:before="0" w:beforeAutospacing="0" w:after="0" w:afterAutospacing="0"/>
                          <w:jc w:val="center"/>
                        </w:pPr>
                        <w:r>
                          <w:rPr>
                            <w:rFonts w:eastAsia="Calibri"/>
                            <w:color w:val="000000"/>
                            <w:sz w:val="20"/>
                            <w:szCs w:val="20"/>
                          </w:rPr>
                          <w:t>Operations</w:t>
                        </w:r>
                        <w:r w:rsidRPr="00291D97">
                          <w:rPr>
                            <w:rFonts w:eastAsia="Calibri"/>
                            <w:color w:val="000000"/>
                            <w:sz w:val="20"/>
                            <w:szCs w:val="20"/>
                          </w:rPr>
                          <w:t xml:space="preserve"> corresponds with customer if necessary</w:t>
                        </w:r>
                      </w:p>
                    </w:txbxContent>
                  </v:textbox>
                </v:rect>
                <v:rect id="Rectangle 85" o:spid="_x0000_s1038" style="position:absolute;left:5;top:63648;width:17646;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" filled="f" strokecolor="black [3213]" strokeweight=".25pt">
                  <v:textbox inset="0,0,0,0">
                    <w:txbxContent>
                      <w:p w14:paraId="5D3162A6" w14:textId="5F095D67" w:rsidR="006007B0" w:rsidRPr="00291D97" w:rsidRDefault="006007B0" w:rsidP="00C64741">
                        <w:pPr>
                          <w:pStyle w:val="NormalWeb"/>
                          <w:spacing w:before="0" w:beforeAutospacing="0" w:after="0" w:afterAutospacing="0"/>
                          <w:jc w:val="center"/>
                        </w:pPr>
                        <w:r w:rsidRPr="00291D97">
                          <w:rPr>
                            <w:rFonts w:eastAsia="Calibri"/>
                            <w:color w:val="000000"/>
                            <w:sz w:val="20"/>
                            <w:szCs w:val="20"/>
                          </w:rPr>
                          <w:t>Close Complaint File; include all documents produced in response to complaint</w:t>
                        </w:r>
                      </w:p>
                    </w:txbxContent>
                  </v:textbox>
                </v:rect>
                <v:shapetype id="_x0000_t32" coordsize="21600,21600" o:spt="32" o:oned="t" path="m,l21600,21600e" filled="f">
                  <v:path arrowok="t" fillok="f" o:connecttype="none"/>
                  <o:lock v:ext="edit" shapetype="t"/>
                </v:shapetype>
                <v:shape id="Connecteur droit avec flèche 10" o:spid="_x0000_s1039" type="#_x0000_t32" style="position:absolute;left:8825;top:3425;width:8;height:2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" strokecolor="black [3213]" strokeweight=".25pt">
                  <v:stroke endarrow="open"/>
                </v:shape>
                <v:shapetype id="_x0000_t33" coordsize="21600,21600" o:spt="33" o:oned="t" path="m,l21600,r,21600e" filled="f">
                  <v:stroke joinstyle="miter"/>
                  <v:path arrowok="t" fillok="f" o:connecttype="none"/>
                  <o:lock v:ext="edit" shapetype="t"/>
                </v:shapetype>
                <v:shape id="Connecteur en angle 11" o:spid="_x0000_s1040" type="#_x0000_t33" style="position:absolute;left:17646;top:7820;width:13079;height:407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" strokecolor="black [3213]" strokeweight=".25pt">
                  <v:stroke endarrow="open"/>
                </v:shape>
                <v:shape id="Connecteur droit avec flèche 91" o:spid="_x0000_s1041" type="#_x0000_t32" style="position:absolute;left:30143;top:34412;width:0;height:3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" strokecolor="black [3213]" strokeweight=".25pt">
                  <v:stroke endarrow="open"/>
                </v:shape>
                <v:shape id="Connecteur en angle 92" o:spid="_x0000_s1042" type="#_x0000_t33" style="position:absolute;left:38966;top:30500;width:15719;height:14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" strokecolor="black [3213]" strokeweight=".25pt">
                  <v:stroke endarrow="open"/>
                </v:shape>
                <v:shape id="Connecteur droit avec flèche 94" o:spid="_x0000_s1043" type="#_x0000_t32" style="position:absolute;left:8823;top:53771;width:0;height:3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" strokecolor="black [3213]" strokeweight=".25pt">
                  <v:stroke endarrow="open"/>
                </v:shape>
                <v:shape id="Connecteur droit avec flèche 95" o:spid="_x0000_s1044" type="#_x0000_t32" style="position:absolute;left:8823;top:60340;width:5;height:3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" strokecolor="black [3213]" strokeweight=".2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96" o:spid="_x0000_s1045" type="#_x0000_t34" style="position:absolute;left:38966;top:40789;width:6896;height:254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" strokecolor="black [3213]" strokeweight=".25pt">
                  <v:stroke endarrow="open"/>
                </v:shape>
                <v:shape id="Connecteur droit avec flèche 97" o:spid="_x0000_s1046" type="#_x0000_t32" style="position:absolute;left:30143;top:43738;width:0;height:9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" strokecolor="black [3213]" strokeweight=".25pt">
                  <v:stroke endarrow="open"/>
                </v:shape>
                <v:rect id="Rectangle 100" o:spid="_x0000_s1047" style="position:absolute;left:17646;top:5534;width:4732;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" filled="f" stroked="f" strokeweight=".25pt">
                  <v:textbox inset="0,0,0,0">
                    <w:txbxContent>
                      <w:p w14:paraId="6564DCE6" w14:textId="14BA281F" w:rsidR="006007B0" w:rsidRPr="00291D97" w:rsidRDefault="006007B0" w:rsidP="00D3573F">
                        <w:pPr>
                          <w:pStyle w:val="NormalWeb"/>
                          <w:spacing w:before="0" w:beforeAutospacing="0" w:after="0" w:afterAutospacing="0"/>
                          <w:jc w:val="center"/>
                        </w:pPr>
                        <w:r w:rsidRPr="00291D97">
                          <w:rPr>
                            <w:rFonts w:eastAsia="Calibri"/>
                            <w:color w:val="000000"/>
                            <w:sz w:val="20"/>
                            <w:szCs w:val="20"/>
                          </w:rPr>
                          <w:t>Yes</w:t>
                        </w:r>
                      </w:p>
                    </w:txbxContent>
                  </v:textbox>
                </v:rect>
                <v:rect id="Rectangle 101" o:spid="_x0000_s1048" style="position:absolute;left:5494;top:9480;width:4731;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" filled="f" stroked="f" strokeweight=".25pt">
                  <v:textbox inset="0,0,0,0">
                    <w:txbxContent>
                      <w:p w14:paraId="6B3AAE8A" w14:textId="60DCB67D" w:rsidR="006007B0" w:rsidRPr="00291D97" w:rsidRDefault="006007B0" w:rsidP="00D3573F">
                        <w:pPr>
                          <w:pStyle w:val="NormalWeb"/>
                          <w:spacing w:before="0" w:beforeAutospacing="0" w:after="0" w:afterAutospacing="0"/>
                          <w:jc w:val="center"/>
                        </w:pPr>
                        <w:r w:rsidRPr="00291D97">
                          <w:rPr>
                            <w:rFonts w:eastAsia="Calibri"/>
                            <w:color w:val="000000"/>
                            <w:sz w:val="20"/>
                            <w:szCs w:val="20"/>
                          </w:rPr>
                          <w:t>No</w:t>
                        </w:r>
                      </w:p>
                    </w:txbxContent>
                  </v:textbox>
                </v:rect>
                <v:rect id="Rectangle 102" o:spid="_x0000_s1049" style="position:absolute;left:38966;top:28245;width:9244;height:2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" filled="f" stroked="f" strokeweight=".25pt">
                  <v:textbox inset="0,0,0,0">
                    <w:txbxContent>
                      <w:p w14:paraId="05F6B242" w14:textId="2B6A8493" w:rsidR="006007B0" w:rsidRPr="00291D97" w:rsidRDefault="006007B0" w:rsidP="00D3573F">
                        <w:pPr>
                          <w:pStyle w:val="NormalWeb"/>
                          <w:spacing w:before="0" w:beforeAutospacing="0" w:after="0" w:afterAutospacing="0"/>
                          <w:jc w:val="center"/>
                        </w:pPr>
                        <w:r w:rsidRPr="00291D97">
                          <w:rPr>
                            <w:rFonts w:eastAsia="Calibri"/>
                            <w:color w:val="000000"/>
                            <w:sz w:val="20"/>
                            <w:szCs w:val="20"/>
                          </w:rPr>
                          <w:t>Reportable</w:t>
                        </w:r>
                      </w:p>
                    </w:txbxContent>
                  </v:textbox>
                </v:rect>
                <v:rect id="Rectangle 103" o:spid="_x0000_s1050" style="position:absolute;left:26743;top:34420;width:4731;height:2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" filled="f" stroked="f" strokeweight=".25pt">
                  <v:textbox inset="0,0,0,0">
                    <w:txbxContent>
                      <w:p w14:paraId="7736AC27" w14:textId="77777777" w:rsidR="006007B0" w:rsidRPr="00291D97" w:rsidRDefault="006007B0" w:rsidP="00D3573F">
                        <w:pPr>
                          <w:pStyle w:val="NormalWeb"/>
                          <w:spacing w:before="0" w:beforeAutospacing="0" w:after="0" w:afterAutospacing="0"/>
                          <w:jc w:val="center"/>
                        </w:pPr>
                        <w:r w:rsidRPr="00291D97">
                          <w:rPr>
                            <w:rFonts w:eastAsia="Calibri"/>
                            <w:color w:val="000000"/>
                            <w:sz w:val="20"/>
                            <w:szCs w:val="20"/>
                          </w:rPr>
                          <w:t>No</w:t>
                        </w:r>
                      </w:p>
                    </w:txbxContent>
                  </v:textbox>
                </v:rect>
                <v:shape id="Connecteur droit avec flèche 104" o:spid="_x0000_s1051" type="#_x0000_t32" style="position:absolute;left:54685;top:36787;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" strokecolor="black [3213]" strokeweight=".25pt">
                  <v:stroke endarrow="open"/>
                </v:shape>
                <v:shape id="Connecteur droit avec flèche 105" o:spid="_x0000_s1052" type="#_x0000_t32" style="position:absolute;left:54685;top:52182;width:0;height:3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" strokecolor="black [3213]" strokeweight=".25pt">
                  <v:stroke endarrow="open"/>
                </v:shape>
                <v:shape id="Connecteur droit avec flèche 106" o:spid="_x0000_s1053" type="#_x0000_t32" style="position:absolute;left:54685;top:61801;width:0;height:1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" strokecolor="black [3213]" strokeweight=".25pt">
                  <v:stroke endarrow="open"/>
                </v:shape>
                <v:rect id="Rectangle 36" o:spid="_x0000_s1054" style="position:absolute;left:45862;top:31929;width:1764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" filled="f" strokecolor="black [3213]" strokeweight=".25pt">
                  <v:textbox inset="0,0,0,0">
                    <w:txbxContent>
                      <w:p w14:paraId="752A53C6" w14:textId="5DFAF719" w:rsidR="006007B0" w:rsidRPr="00CF0927" w:rsidRDefault="006007B0" w:rsidP="00CF0927">
                        <w:pPr>
                          <w:pStyle w:val="NormalWeb"/>
                          <w:spacing w:before="0" w:beforeAutospacing="0" w:after="0" w:afterAutospacing="0"/>
                          <w:jc w:val="center"/>
                        </w:pPr>
                        <w:r w:rsidRPr="00CF0927">
                          <w:rPr>
                            <w:rFonts w:eastAsia="Calibri"/>
                            <w:color w:val="000000"/>
                            <w:sz w:val="20"/>
                            <w:szCs w:val="20"/>
                          </w:rPr>
                          <w:t xml:space="preserve">Inform </w:t>
                        </w:r>
                        <w:r>
                          <w:rPr>
                            <w:rFonts w:eastAsia="Calibri"/>
                            <w:color w:val="000000"/>
                            <w:sz w:val="20"/>
                            <w:szCs w:val="20"/>
                          </w:rPr>
                          <w:t>the RAQA consultant</w:t>
                        </w:r>
                        <w:r w:rsidRPr="00CF0927">
                          <w:rPr>
                            <w:rFonts w:eastAsia="Calibri"/>
                            <w:color w:val="000000"/>
                            <w:sz w:val="20"/>
                            <w:szCs w:val="20"/>
                          </w:rPr>
                          <w:t xml:space="preserve"> to </w:t>
                        </w:r>
                        <w:r>
                          <w:rPr>
                            <w:rFonts w:eastAsia="Calibri"/>
                            <w:color w:val="000000"/>
                            <w:sz w:val="20"/>
                            <w:szCs w:val="20"/>
                          </w:rPr>
                          <w:t>conduct the following</w:t>
                        </w:r>
                        <w:r w:rsidRPr="00CF0927">
                          <w:rPr>
                            <w:rFonts w:eastAsia="Calibri"/>
                            <w:color w:val="000000"/>
                            <w:sz w:val="20"/>
                            <w:szCs w:val="20"/>
                          </w:rPr>
                          <w:t xml:space="preserve"> </w:t>
                        </w:r>
                        <w:r>
                          <w:rPr>
                            <w:rFonts w:eastAsia="Calibri"/>
                            <w:color w:val="000000"/>
                            <w:sz w:val="20"/>
                            <w:szCs w:val="20"/>
                          </w:rPr>
                          <w:t>on behalf of GT Medical:</w:t>
                        </w:r>
                      </w:p>
                    </w:txbxContent>
                  </v:textbox>
                </v:rect>
                <v:shape id="Connecteur droit avec flèche 37" o:spid="_x0000_s1055" type="#_x0000_t32" style="position:absolute;left:54685;top:42579;width:0;height:4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" strokecolor="black [3213]" strokeweight=".25pt">
                  <v:stroke endarrow="open"/>
                </v:shape>
                <v:shape id="Connecteur en angle 96" o:spid="_x0000_s1056" type="#_x0000_t34" style="position:absolute;left:17646;top:51283;width:3673;height:503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" strokecolor="black [3213]" strokeweight=".25pt">
                  <v:stroke endarrow="open"/>
                </v:shape>
                <v:rect id="Rectangle 39" o:spid="_x0000_s1057" style="position:absolute;top:6159;width:17646;height:3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" filled="f" strokecolor="black [3213]" strokeweight=".25pt">
                  <v:textbox inset="0,0,0,0">
                    <w:txbxContent>
                      <w:p w14:paraId="27CF0D7A" w14:textId="6E6E2788" w:rsidR="006007B0" w:rsidRDefault="006007B0" w:rsidP="0091178A">
                        <w:pPr>
                          <w:pStyle w:val="NormalWeb"/>
                          <w:spacing w:before="0" w:beforeAutospacing="0" w:after="0" w:afterAutospacing="0"/>
                          <w:jc w:val="center"/>
                        </w:pPr>
                        <w:r>
                          <w:rPr>
                            <w:rFonts w:eastAsia="Calibri"/>
                            <w:color w:val="000000"/>
                            <w:sz w:val="20"/>
                            <w:szCs w:val="20"/>
                          </w:rPr>
                          <w:t>Is the feedback classified as a device complaint?</w:t>
                        </w:r>
                      </w:p>
                    </w:txbxContent>
                  </v:textbox>
                </v:rect>
                <v:shape id="Connecteur droit avec flèche 10" o:spid="_x0000_s1058" type="#_x0000_t32" style="position:absolute;left:8823;top:9480;width:0;height:5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" strokecolor="black [3213]" strokeweight=".25pt">
                  <v:stroke endarrow="open"/>
                </v:shape>
                <v:rect id="Rectangle 42" o:spid="_x0000_s1059" style="position:absolute;top:14840;width:17646;height:3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" filled="f" strokecolor="black [3213]" strokeweight=".25pt">
                  <v:textbox inset="0,0,0,0">
                    <w:txbxContent>
                      <w:p w14:paraId="7420A350" w14:textId="4546BB67" w:rsidR="006007B0" w:rsidRPr="0091178A" w:rsidRDefault="006007B0" w:rsidP="0091178A">
                        <w:pPr>
                          <w:pStyle w:val="NormalWeb"/>
                          <w:spacing w:before="0" w:beforeAutospacing="0" w:after="0" w:afterAutospacing="0"/>
                          <w:jc w:val="center"/>
                        </w:pPr>
                        <w:r w:rsidRPr="0091178A">
                          <w:rPr>
                            <w:rFonts w:eastAsia="Calibri"/>
                            <w:color w:val="000000"/>
                            <w:sz w:val="20"/>
                            <w:szCs w:val="20"/>
                          </w:rPr>
                          <w:t xml:space="preserve">Handle </w:t>
                        </w:r>
                        <w:r>
                          <w:rPr>
                            <w:rFonts w:eastAsia="Calibri"/>
                            <w:color w:val="000000"/>
                            <w:sz w:val="20"/>
                            <w:szCs w:val="20"/>
                          </w:rPr>
                          <w:t>outside of complaint process</w:t>
                        </w:r>
                      </w:p>
                    </w:txbxContent>
                  </v:textbox>
                </v:rect>
                <w10:anchorlock/>
              </v:group>
            </w:pict>
          </mc:Fallback>
        </mc:AlternateContent>
      </w:r>
      <w:r w:rsidR="0032142D" w:rsidRPr="00E97956">
        <w:rPr>
          <w:rFonts w:cs="Arial"/>
          <w:b/>
          <w:szCs w:val="22"/>
        </w:rPr>
        <w:br w:type="page"/>
      </w:r>
    </w:p>
    <w:p w14:paraId="7BAB62CB" w14:textId="7450DC6A" w:rsidR="0032142D" w:rsidRPr="00E97956" w:rsidRDefault="0032142D" w:rsidP="00E97956">
      <w:pPr>
        <w:jc w:val="center"/>
        <w:rPr>
          <w:rFonts w:eastAsia="Arial" w:cs="Arial"/>
          <w:b/>
          <w:bCs/>
          <w:szCs w:val="22"/>
        </w:rPr>
      </w:pPr>
      <w:r w:rsidRPr="00E97956">
        <w:rPr>
          <w:rFonts w:eastAsia="Arial" w:cs="Arial"/>
          <w:b/>
          <w:bCs/>
          <w:szCs w:val="22"/>
        </w:rPr>
        <w:lastRenderedPageBreak/>
        <w:t>APPENDIX B – Reportable Event Timeline Table</w:t>
      </w:r>
    </w:p>
    <w:p w14:paraId="5D24C6FE" w14:textId="77777777" w:rsidR="00E97956" w:rsidRPr="00E97956" w:rsidRDefault="00E97956" w:rsidP="00E97956">
      <w:pPr>
        <w:jc w:val="center"/>
        <w:rPr>
          <w:rFonts w:eastAsia="Arial" w:cs="Arial"/>
          <w:b/>
          <w:bCs/>
          <w:szCs w:val="22"/>
        </w:rPr>
      </w:pPr>
    </w:p>
    <w:tbl>
      <w:tblPr>
        <w:tblStyle w:val="TableGrid"/>
        <w:tblW w:w="10881" w:type="dxa"/>
        <w:tblLook w:val="04A0" w:firstRow="1" w:lastRow="0" w:firstColumn="1" w:lastColumn="0" w:noHBand="0" w:noVBand="1"/>
      </w:tblPr>
      <w:tblGrid>
        <w:gridCol w:w="8330"/>
        <w:gridCol w:w="2551"/>
      </w:tblGrid>
      <w:tr w:rsidR="0032142D" w:rsidRPr="00E97956" w14:paraId="165FB255" w14:textId="77777777" w:rsidTr="0032142D">
        <w:tc>
          <w:tcPr>
            <w:tcW w:w="8330" w:type="dxa"/>
            <w:shd w:val="clear" w:color="auto" w:fill="F2F2F2" w:themeFill="background1" w:themeFillShade="F2"/>
          </w:tcPr>
          <w:p w14:paraId="5A3B2850" w14:textId="2B5A0BA3" w:rsidR="0032142D" w:rsidRPr="00E97956" w:rsidRDefault="0032142D" w:rsidP="00E97956">
            <w:pPr>
              <w:rPr>
                <w:rFonts w:cs="Arial"/>
                <w:b/>
                <w:szCs w:val="22"/>
              </w:rPr>
            </w:pPr>
            <w:r w:rsidRPr="00E97956">
              <w:rPr>
                <w:rFonts w:cs="Arial"/>
                <w:b/>
                <w:szCs w:val="22"/>
              </w:rPr>
              <w:t>Type of Reportable</w:t>
            </w:r>
            <w:r w:rsidR="00A57BDA" w:rsidRPr="00E97956">
              <w:rPr>
                <w:rFonts w:cs="Arial"/>
                <w:b/>
                <w:szCs w:val="22"/>
              </w:rPr>
              <w:t xml:space="preserve"> Event</w:t>
            </w:r>
          </w:p>
        </w:tc>
        <w:tc>
          <w:tcPr>
            <w:tcW w:w="2551" w:type="dxa"/>
            <w:shd w:val="clear" w:color="auto" w:fill="F2F2F2" w:themeFill="background1" w:themeFillShade="F2"/>
          </w:tcPr>
          <w:p w14:paraId="2A867130" w14:textId="3B53C2F5" w:rsidR="0032142D" w:rsidRPr="00E97956" w:rsidRDefault="0032142D" w:rsidP="00E97956">
            <w:pPr>
              <w:jc w:val="center"/>
              <w:rPr>
                <w:rFonts w:cs="Arial"/>
                <w:b/>
                <w:szCs w:val="22"/>
              </w:rPr>
            </w:pPr>
            <w:r w:rsidRPr="00E97956">
              <w:rPr>
                <w:rFonts w:cs="Arial"/>
                <w:b/>
                <w:szCs w:val="22"/>
              </w:rPr>
              <w:t>FDA Action</w:t>
            </w:r>
          </w:p>
        </w:tc>
      </w:tr>
      <w:tr w:rsidR="0032142D" w:rsidRPr="00E97956" w14:paraId="183A2BED" w14:textId="77777777" w:rsidTr="0032142D">
        <w:tc>
          <w:tcPr>
            <w:tcW w:w="8330" w:type="dxa"/>
            <w:vAlign w:val="center"/>
          </w:tcPr>
          <w:p w14:paraId="70491EEC" w14:textId="1C9C9E35" w:rsidR="0032142D" w:rsidRPr="00E97956" w:rsidRDefault="0032142D" w:rsidP="00E97956">
            <w:pPr>
              <w:rPr>
                <w:rFonts w:cs="Arial"/>
                <w:b/>
                <w:szCs w:val="22"/>
              </w:rPr>
            </w:pPr>
            <w:r w:rsidRPr="00E97956">
              <w:rPr>
                <w:rFonts w:eastAsiaTheme="minorEastAsia" w:cs="Arial"/>
              </w:rPr>
              <w:t>Requires remedial action to prevent an unreasonable risk to the public</w:t>
            </w:r>
          </w:p>
        </w:tc>
        <w:tc>
          <w:tcPr>
            <w:tcW w:w="2551" w:type="dxa"/>
          </w:tcPr>
          <w:p w14:paraId="40343ED8" w14:textId="1AFD9D32" w:rsidR="0032142D" w:rsidRPr="00E97956" w:rsidRDefault="0032142D" w:rsidP="00E97956">
            <w:pPr>
              <w:jc w:val="center"/>
              <w:rPr>
                <w:rFonts w:cs="Arial"/>
                <w:szCs w:val="22"/>
              </w:rPr>
            </w:pPr>
            <w:r w:rsidRPr="00E97956">
              <w:rPr>
                <w:rFonts w:cs="Arial"/>
                <w:szCs w:val="22"/>
              </w:rPr>
              <w:t xml:space="preserve">5 </w:t>
            </w:r>
            <w:r w:rsidR="00AC52BD" w:rsidRPr="00E97956">
              <w:rPr>
                <w:rFonts w:cs="Arial"/>
                <w:szCs w:val="22"/>
              </w:rPr>
              <w:t>working d</w:t>
            </w:r>
            <w:r w:rsidRPr="00E97956">
              <w:rPr>
                <w:rFonts w:cs="Arial"/>
                <w:szCs w:val="22"/>
              </w:rPr>
              <w:t>ays</w:t>
            </w:r>
            <w:r w:rsidR="00AC52BD" w:rsidRPr="00E97956">
              <w:rPr>
                <w:rFonts w:cs="Arial"/>
                <w:szCs w:val="22"/>
              </w:rPr>
              <w:t xml:space="preserve"> of becoming aware</w:t>
            </w:r>
          </w:p>
        </w:tc>
      </w:tr>
      <w:tr w:rsidR="0032142D" w:rsidRPr="00E97956" w14:paraId="3EA2C678" w14:textId="77777777" w:rsidTr="0032142D">
        <w:tc>
          <w:tcPr>
            <w:tcW w:w="8330" w:type="dxa"/>
            <w:vAlign w:val="center"/>
          </w:tcPr>
          <w:p w14:paraId="0AB3E317" w14:textId="3F6E10A6" w:rsidR="0032142D" w:rsidRPr="00E97956" w:rsidRDefault="0032142D" w:rsidP="00E97956">
            <w:pPr>
              <w:rPr>
                <w:rFonts w:cs="Arial"/>
                <w:b/>
                <w:szCs w:val="22"/>
              </w:rPr>
            </w:pPr>
            <w:r w:rsidRPr="00E97956">
              <w:rPr>
                <w:rFonts w:eastAsiaTheme="minorEastAsia" w:cs="Arial"/>
              </w:rPr>
              <w:t>Death or Serious Injury as a result of the device</w:t>
            </w:r>
          </w:p>
        </w:tc>
        <w:tc>
          <w:tcPr>
            <w:tcW w:w="2551" w:type="dxa"/>
          </w:tcPr>
          <w:p w14:paraId="321BA17A" w14:textId="6DCA9CCF" w:rsidR="0032142D" w:rsidRPr="00E97956" w:rsidRDefault="0032142D" w:rsidP="00E97956">
            <w:pPr>
              <w:jc w:val="center"/>
              <w:rPr>
                <w:rFonts w:cs="Arial"/>
                <w:szCs w:val="22"/>
              </w:rPr>
            </w:pPr>
            <w:r w:rsidRPr="00E97956">
              <w:rPr>
                <w:rFonts w:cs="Arial"/>
                <w:szCs w:val="22"/>
              </w:rPr>
              <w:t xml:space="preserve">30 </w:t>
            </w:r>
            <w:r w:rsidR="00AC52BD" w:rsidRPr="00E97956">
              <w:rPr>
                <w:rFonts w:cs="Arial"/>
                <w:szCs w:val="22"/>
              </w:rPr>
              <w:t>calendars d</w:t>
            </w:r>
            <w:r w:rsidRPr="00E97956">
              <w:rPr>
                <w:rFonts w:cs="Arial"/>
                <w:szCs w:val="22"/>
              </w:rPr>
              <w:t>ays</w:t>
            </w:r>
          </w:p>
        </w:tc>
      </w:tr>
      <w:tr w:rsidR="0032142D" w:rsidRPr="00E97956" w14:paraId="0DCF733C" w14:textId="77777777" w:rsidTr="0032142D">
        <w:tc>
          <w:tcPr>
            <w:tcW w:w="8330" w:type="dxa"/>
            <w:vAlign w:val="center"/>
          </w:tcPr>
          <w:p w14:paraId="0F697358" w14:textId="7C818F63" w:rsidR="0032142D" w:rsidRPr="00E97956" w:rsidRDefault="0032142D" w:rsidP="00E97956">
            <w:pPr>
              <w:rPr>
                <w:rFonts w:cs="Arial"/>
                <w:b/>
                <w:szCs w:val="22"/>
              </w:rPr>
            </w:pPr>
            <w:r w:rsidRPr="00E97956">
              <w:rPr>
                <w:rFonts w:eastAsiaTheme="minorEastAsia" w:cs="Arial"/>
              </w:rPr>
              <w:t>Remedial action is required to prevent death or serious injury</w:t>
            </w:r>
          </w:p>
        </w:tc>
        <w:tc>
          <w:tcPr>
            <w:tcW w:w="2551" w:type="dxa"/>
          </w:tcPr>
          <w:p w14:paraId="5B7AB71B" w14:textId="6FBE1404" w:rsidR="0032142D" w:rsidRPr="00E97956" w:rsidRDefault="0032142D" w:rsidP="00E97956">
            <w:pPr>
              <w:jc w:val="center"/>
              <w:rPr>
                <w:rFonts w:cs="Arial"/>
                <w:szCs w:val="22"/>
              </w:rPr>
            </w:pPr>
            <w:r w:rsidRPr="00E97956">
              <w:rPr>
                <w:rFonts w:cs="Arial"/>
                <w:szCs w:val="22"/>
              </w:rPr>
              <w:t>5 Work Days</w:t>
            </w:r>
          </w:p>
        </w:tc>
      </w:tr>
      <w:tr w:rsidR="0032142D" w:rsidRPr="00E97956" w14:paraId="1FF63212" w14:textId="77777777" w:rsidTr="0032142D">
        <w:tc>
          <w:tcPr>
            <w:tcW w:w="8330" w:type="dxa"/>
            <w:vAlign w:val="center"/>
          </w:tcPr>
          <w:p w14:paraId="08B6E91A" w14:textId="1166B610" w:rsidR="0032142D" w:rsidRPr="00E97956" w:rsidRDefault="0032142D" w:rsidP="00E97956">
            <w:pPr>
              <w:rPr>
                <w:rFonts w:cs="Arial"/>
                <w:b/>
                <w:szCs w:val="22"/>
              </w:rPr>
            </w:pPr>
            <w:r w:rsidRPr="00E97956">
              <w:rPr>
                <w:rFonts w:eastAsiaTheme="minorEastAsia" w:cs="Arial"/>
              </w:rPr>
              <w:t>Report requested by the FDA</w:t>
            </w:r>
          </w:p>
        </w:tc>
        <w:tc>
          <w:tcPr>
            <w:tcW w:w="2551" w:type="dxa"/>
          </w:tcPr>
          <w:p w14:paraId="6C194197" w14:textId="663ED231" w:rsidR="0032142D" w:rsidRPr="00E97956" w:rsidRDefault="0032142D" w:rsidP="00E97956">
            <w:pPr>
              <w:jc w:val="center"/>
              <w:rPr>
                <w:rFonts w:cs="Arial"/>
                <w:szCs w:val="22"/>
              </w:rPr>
            </w:pPr>
            <w:r w:rsidRPr="00E97956">
              <w:rPr>
                <w:rFonts w:cs="Arial"/>
                <w:szCs w:val="22"/>
              </w:rPr>
              <w:t>5 Work Days</w:t>
            </w:r>
          </w:p>
        </w:tc>
      </w:tr>
      <w:tr w:rsidR="0032142D" w:rsidRPr="00E97956" w14:paraId="27C89C4C" w14:textId="77777777" w:rsidTr="0032142D">
        <w:tc>
          <w:tcPr>
            <w:tcW w:w="8330" w:type="dxa"/>
            <w:vAlign w:val="center"/>
          </w:tcPr>
          <w:p w14:paraId="640AE0E3" w14:textId="2C634946" w:rsidR="0032142D" w:rsidRPr="00E97956" w:rsidRDefault="0032142D" w:rsidP="00E97956">
            <w:pPr>
              <w:rPr>
                <w:rFonts w:cs="Arial"/>
                <w:b/>
                <w:szCs w:val="22"/>
              </w:rPr>
            </w:pPr>
            <w:r w:rsidRPr="00E97956">
              <w:rPr>
                <w:rFonts w:eastAsiaTheme="minorEastAsia" w:cs="Arial"/>
              </w:rPr>
              <w:t>No injury or death occurred, but could cause injury or death upon recurrence</w:t>
            </w:r>
          </w:p>
        </w:tc>
        <w:tc>
          <w:tcPr>
            <w:tcW w:w="2551" w:type="dxa"/>
          </w:tcPr>
          <w:p w14:paraId="106257A2" w14:textId="13129651" w:rsidR="0032142D" w:rsidRPr="00E97956" w:rsidRDefault="0032142D" w:rsidP="00E97956">
            <w:pPr>
              <w:jc w:val="center"/>
              <w:rPr>
                <w:rFonts w:cs="Arial"/>
                <w:szCs w:val="22"/>
              </w:rPr>
            </w:pPr>
            <w:r w:rsidRPr="00E97956">
              <w:rPr>
                <w:rFonts w:cs="Arial"/>
                <w:szCs w:val="22"/>
              </w:rPr>
              <w:t>30 Days</w:t>
            </w:r>
          </w:p>
        </w:tc>
      </w:tr>
      <w:tr w:rsidR="0032142D" w:rsidRPr="00E97956" w14:paraId="25F09706" w14:textId="77777777" w:rsidTr="0032142D">
        <w:tc>
          <w:tcPr>
            <w:tcW w:w="8330" w:type="dxa"/>
            <w:vAlign w:val="center"/>
          </w:tcPr>
          <w:p w14:paraId="05A4D27F" w14:textId="77FEC483" w:rsidR="0032142D" w:rsidRPr="00E97956" w:rsidRDefault="0032142D" w:rsidP="00E97956">
            <w:pPr>
              <w:rPr>
                <w:rFonts w:cs="Arial"/>
                <w:b/>
                <w:szCs w:val="22"/>
              </w:rPr>
            </w:pPr>
            <w:r w:rsidRPr="00E97956">
              <w:rPr>
                <w:rFonts w:eastAsiaTheme="minorEastAsia" w:cs="Arial"/>
              </w:rPr>
              <w:t>Additional information is acquired since initial report</w:t>
            </w:r>
          </w:p>
        </w:tc>
        <w:tc>
          <w:tcPr>
            <w:tcW w:w="2551" w:type="dxa"/>
          </w:tcPr>
          <w:p w14:paraId="1F2C1101" w14:textId="0055BAF5" w:rsidR="0032142D" w:rsidRPr="00E97956" w:rsidRDefault="0032142D" w:rsidP="00E97956">
            <w:pPr>
              <w:jc w:val="center"/>
              <w:rPr>
                <w:rFonts w:cs="Arial"/>
                <w:szCs w:val="22"/>
              </w:rPr>
            </w:pPr>
            <w:r w:rsidRPr="00E97956">
              <w:rPr>
                <w:rFonts w:cs="Arial"/>
                <w:szCs w:val="22"/>
              </w:rPr>
              <w:t>Supplemental Report</w:t>
            </w:r>
          </w:p>
        </w:tc>
      </w:tr>
    </w:tbl>
    <w:p w14:paraId="19B2CE91" w14:textId="77777777" w:rsidR="00437211" w:rsidRPr="00E97956" w:rsidRDefault="00437211" w:rsidP="00E97956">
      <w:pPr>
        <w:rPr>
          <w:rFonts w:cs="Arial"/>
          <w:b/>
          <w:szCs w:val="22"/>
        </w:rPr>
      </w:pPr>
    </w:p>
    <w:p w14:paraId="7B917476" w14:textId="77777777" w:rsidR="0032142D" w:rsidRPr="00E97956" w:rsidRDefault="0032142D" w:rsidP="00E97956">
      <w:pPr>
        <w:rPr>
          <w:rFonts w:cs="Arial"/>
          <w:b/>
          <w:szCs w:val="22"/>
        </w:rPr>
      </w:pPr>
    </w:p>
    <w:sectPr w:rsidR="0032142D" w:rsidRPr="00E97956" w:rsidSect="00BA513D">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E6E3F" w14:textId="77777777" w:rsidR="00DA5C7E" w:rsidRDefault="00DA5C7E" w:rsidP="00C14126">
      <w:r>
        <w:separator/>
      </w:r>
    </w:p>
  </w:endnote>
  <w:endnote w:type="continuationSeparator" w:id="0">
    <w:p w14:paraId="0D8BF16E" w14:textId="77777777" w:rsidR="00DA5C7E" w:rsidRDefault="00DA5C7E" w:rsidP="00C1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Calibri">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912E1" w14:textId="77777777" w:rsidR="00DA5C7E" w:rsidRDefault="00DA5C7E" w:rsidP="00C14126">
      <w:r>
        <w:separator/>
      </w:r>
    </w:p>
  </w:footnote>
  <w:footnote w:type="continuationSeparator" w:id="0">
    <w:p w14:paraId="41FF84B3" w14:textId="77777777" w:rsidR="00DA5C7E" w:rsidRDefault="00DA5C7E" w:rsidP="00C14126">
      <w:r>
        <w:continuationSeparator/>
      </w:r>
    </w:p>
  </w:footnote>
  <w:footnote w:id="1">
    <w:p w14:paraId="42B20518" w14:textId="378D80D9" w:rsidR="006007B0" w:rsidRPr="00B308F9" w:rsidRDefault="006007B0">
      <w:pPr>
        <w:pStyle w:val="FootnoteText"/>
        <w:rPr>
          <w:rFonts w:cs="Arial"/>
        </w:rPr>
      </w:pPr>
      <w:r w:rsidRPr="00B308F9">
        <w:rPr>
          <w:rStyle w:val="FootnoteReference"/>
          <w:rFonts w:cs="Arial"/>
        </w:rPr>
        <w:footnoteRef/>
      </w:r>
      <w:r w:rsidRPr="00B308F9">
        <w:rPr>
          <w:rFonts w:cs="Arial"/>
        </w:rPr>
        <w:t xml:space="preserve"> Pursuant to Section 11.100 of Title 21 of the Code of Federal Regulations, </w:t>
      </w:r>
      <w:r>
        <w:rPr>
          <w:rFonts w:cs="Arial"/>
        </w:rPr>
        <w:t xml:space="preserve">GT Medical, </w:t>
      </w:r>
      <w:r w:rsidRPr="00B308F9">
        <w:rPr>
          <w:rFonts w:cs="Arial"/>
        </w:rPr>
        <w:t>has authorized Lean RAQA Systems to submit in the Electronic S</w:t>
      </w:r>
      <w:r>
        <w:rPr>
          <w:rFonts w:cs="Arial"/>
        </w:rPr>
        <w:t>ubmissions Gateway on its behalf</w:t>
      </w:r>
      <w:r w:rsidRPr="00B308F9">
        <w:rPr>
          <w:rFonts w:cs="Arial"/>
        </w:rPr>
        <w:t>.</w:t>
      </w:r>
    </w:p>
  </w:footnote>
  <w:footnote w:id="2">
    <w:p w14:paraId="1798E4A0" w14:textId="77777777" w:rsidR="006007B0" w:rsidRPr="00B308F9" w:rsidRDefault="006007B0" w:rsidP="009640D7">
      <w:pPr>
        <w:pStyle w:val="FootnoteText"/>
        <w:jc w:val="left"/>
        <w:rPr>
          <w:rFonts w:cs="Arial"/>
        </w:rPr>
      </w:pPr>
      <w:r w:rsidRPr="00B308F9">
        <w:rPr>
          <w:rStyle w:val="FootnoteReference"/>
          <w:rFonts w:cs="Arial"/>
        </w:rPr>
        <w:footnoteRef/>
      </w:r>
      <w:r w:rsidRPr="00B308F9">
        <w:rPr>
          <w:rFonts w:cs="Arial"/>
        </w:rPr>
        <w:t xml:space="preserve"> This form can be obtained from the following website: </w:t>
      </w:r>
      <w:hyperlink r:id="rId1" w:history="1">
        <w:r w:rsidRPr="00B308F9">
          <w:rPr>
            <w:rStyle w:val="Hyperlink"/>
            <w:rFonts w:cs="Arial"/>
          </w:rPr>
          <w:t>http://www.fda.gov/downloads/MedicalDevices/DeviceRegulationandGuidance/IVDRegulatoryAssistance/UCM126211.doc</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8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015"/>
      <w:gridCol w:w="3307"/>
      <w:gridCol w:w="2721"/>
      <w:gridCol w:w="1847"/>
    </w:tblGrid>
    <w:tr w:rsidR="006007B0" w:rsidRPr="00F06A7F" w14:paraId="612211BC" w14:textId="77777777" w:rsidTr="00BA513D">
      <w:trPr>
        <w:trHeight w:val="356"/>
        <w:jc w:val="center"/>
      </w:trPr>
      <w:tc>
        <w:tcPr>
          <w:tcW w:w="3015" w:type="dxa"/>
          <w:vMerge w:val="restart"/>
          <w:shd w:val="clear" w:color="auto" w:fill="auto"/>
          <w:vAlign w:val="center"/>
        </w:tcPr>
        <w:p w14:paraId="01131C36" w14:textId="76FB6B4F" w:rsidR="006007B0" w:rsidRPr="00BA513D" w:rsidRDefault="00FF07C7" w:rsidP="00BA513D">
          <w:pPr>
            <w:tabs>
              <w:tab w:val="center" w:pos="4703"/>
              <w:tab w:val="right" w:pos="9406"/>
            </w:tabs>
            <w:jc w:val="center"/>
            <w:rPr>
              <w:rFonts w:cs="Arial"/>
              <w:sz w:val="20"/>
              <w:szCs w:val="22"/>
            </w:rPr>
          </w:pPr>
          <w:r>
            <w:rPr>
              <w:rFonts w:cs="Arial"/>
              <w:noProof/>
              <w:sz w:val="20"/>
              <w:szCs w:val="22"/>
            </w:rPr>
            <w:drawing>
              <wp:inline distT="0" distB="0" distL="0" distR="0" wp14:anchorId="2650B5FA" wp14:editId="2CCF4A3E">
                <wp:extent cx="1266092"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 Medical Logo II.jpg"/>
                        <pic:cNvPicPr/>
                      </pic:nvPicPr>
                      <pic:blipFill>
                        <a:blip r:embed="rId1"/>
                        <a:stretch>
                          <a:fillRect/>
                        </a:stretch>
                      </pic:blipFill>
                      <pic:spPr>
                        <a:xfrm>
                          <a:off x="0" y="0"/>
                          <a:ext cx="1266092" cy="457200"/>
                        </a:xfrm>
                        <a:prstGeom prst="rect">
                          <a:avLst/>
                        </a:prstGeom>
                      </pic:spPr>
                    </pic:pic>
                  </a:graphicData>
                </a:graphic>
              </wp:inline>
            </w:drawing>
          </w:r>
        </w:p>
      </w:tc>
      <w:tc>
        <w:tcPr>
          <w:tcW w:w="7875" w:type="dxa"/>
          <w:gridSpan w:val="3"/>
          <w:tcBorders>
            <w:bottom w:val="single" w:sz="8" w:space="0" w:color="auto"/>
          </w:tcBorders>
          <w:shd w:val="clear" w:color="auto" w:fill="F2F2F2" w:themeFill="background1" w:themeFillShade="F2"/>
          <w:vAlign w:val="center"/>
        </w:tcPr>
        <w:p w14:paraId="552E027B" w14:textId="457C0B45" w:rsidR="006007B0" w:rsidRPr="00BA513D" w:rsidRDefault="006007B0" w:rsidP="00BA513D">
          <w:pPr>
            <w:tabs>
              <w:tab w:val="center" w:pos="4703"/>
              <w:tab w:val="right" w:pos="9406"/>
            </w:tabs>
            <w:jc w:val="center"/>
            <w:rPr>
              <w:rFonts w:cs="Arial"/>
              <w:sz w:val="20"/>
              <w:szCs w:val="22"/>
            </w:rPr>
          </w:pPr>
          <w:r w:rsidRPr="00BA513D">
            <w:rPr>
              <w:rFonts w:cs="Arial"/>
              <w:sz w:val="20"/>
              <w:szCs w:val="22"/>
            </w:rPr>
            <w:t xml:space="preserve">DOCUMENT NAME: </w:t>
          </w:r>
          <w:r>
            <w:rPr>
              <w:rFonts w:cs="Arial"/>
              <w:b/>
              <w:sz w:val="20"/>
              <w:szCs w:val="22"/>
            </w:rPr>
            <w:t xml:space="preserve">Complaint Handling, Reporting and Recall </w:t>
          </w:r>
          <w:r w:rsidRPr="007D58F6">
            <w:rPr>
              <w:rFonts w:cs="Arial"/>
              <w:b/>
              <w:sz w:val="20"/>
              <w:szCs w:val="22"/>
            </w:rPr>
            <w:t>(</w:t>
          </w:r>
          <w:r>
            <w:rPr>
              <w:rFonts w:cs="Arial"/>
              <w:b/>
              <w:sz w:val="20"/>
              <w:szCs w:val="22"/>
            </w:rPr>
            <w:t>SOP-003</w:t>
          </w:r>
          <w:r w:rsidRPr="007D58F6">
            <w:rPr>
              <w:rFonts w:cs="Arial"/>
              <w:b/>
              <w:sz w:val="20"/>
              <w:szCs w:val="22"/>
            </w:rPr>
            <w:t>)</w:t>
          </w:r>
        </w:p>
      </w:tc>
    </w:tr>
    <w:tr w:rsidR="006007B0" w:rsidRPr="00BA513D" w14:paraId="4E44E26A" w14:textId="77777777" w:rsidTr="00BA513D">
      <w:trPr>
        <w:trHeight w:val="341"/>
        <w:jc w:val="center"/>
      </w:trPr>
      <w:tc>
        <w:tcPr>
          <w:tcW w:w="3015" w:type="dxa"/>
          <w:vMerge/>
          <w:shd w:val="clear" w:color="auto" w:fill="auto"/>
          <w:vAlign w:val="center"/>
        </w:tcPr>
        <w:p w14:paraId="730F318F" w14:textId="77777777" w:rsidR="006007B0" w:rsidRPr="00BA513D" w:rsidRDefault="006007B0" w:rsidP="00BA513D">
          <w:pPr>
            <w:tabs>
              <w:tab w:val="center" w:pos="4703"/>
              <w:tab w:val="right" w:pos="9406"/>
            </w:tabs>
            <w:jc w:val="center"/>
            <w:rPr>
              <w:rFonts w:cs="Arial"/>
              <w:sz w:val="20"/>
              <w:szCs w:val="22"/>
            </w:rPr>
          </w:pPr>
        </w:p>
      </w:tc>
      <w:tc>
        <w:tcPr>
          <w:tcW w:w="3307" w:type="dxa"/>
          <w:tcBorders>
            <w:top w:val="single" w:sz="8" w:space="0" w:color="auto"/>
          </w:tcBorders>
          <w:vAlign w:val="center"/>
        </w:tcPr>
        <w:p w14:paraId="28ED3A1B" w14:textId="3BF0E13C" w:rsidR="006007B0" w:rsidRPr="00BA513D" w:rsidRDefault="006007B0" w:rsidP="00BA513D">
          <w:pPr>
            <w:tabs>
              <w:tab w:val="center" w:pos="4703"/>
              <w:tab w:val="right" w:pos="9406"/>
            </w:tabs>
            <w:jc w:val="center"/>
            <w:rPr>
              <w:rFonts w:cs="Arial"/>
              <w:sz w:val="20"/>
              <w:szCs w:val="22"/>
            </w:rPr>
          </w:pPr>
          <w:r>
            <w:rPr>
              <w:rFonts w:cs="Arial"/>
              <w:sz w:val="20"/>
              <w:szCs w:val="22"/>
            </w:rPr>
            <w:t xml:space="preserve">Effective </w:t>
          </w:r>
          <w:r w:rsidRPr="00E97956">
            <w:rPr>
              <w:rFonts w:cs="Arial"/>
              <w:sz w:val="20"/>
            </w:rPr>
            <w:t xml:space="preserve">Date: </w:t>
          </w:r>
          <w:r w:rsidRPr="00A64C80">
            <w:rPr>
              <w:rFonts w:cs="Arial"/>
              <w:sz w:val="20"/>
            </w:rPr>
            <w:t>2018-</w:t>
          </w:r>
          <w:r w:rsidR="002D1E99">
            <w:rPr>
              <w:rFonts w:cs="Arial"/>
              <w:sz w:val="20"/>
            </w:rPr>
            <w:t>11-26</w:t>
          </w:r>
        </w:p>
      </w:tc>
      <w:tc>
        <w:tcPr>
          <w:tcW w:w="2721" w:type="dxa"/>
          <w:tcBorders>
            <w:top w:val="single" w:sz="8" w:space="0" w:color="auto"/>
          </w:tcBorders>
          <w:vAlign w:val="center"/>
        </w:tcPr>
        <w:p w14:paraId="2FDADABA" w14:textId="22FD8DF8" w:rsidR="006007B0" w:rsidRPr="00BA513D" w:rsidRDefault="0073165C" w:rsidP="00BA513D">
          <w:pPr>
            <w:tabs>
              <w:tab w:val="center" w:pos="4703"/>
              <w:tab w:val="right" w:pos="9406"/>
            </w:tabs>
            <w:jc w:val="center"/>
            <w:rPr>
              <w:rFonts w:cs="Arial"/>
              <w:sz w:val="20"/>
              <w:szCs w:val="22"/>
            </w:rPr>
          </w:pPr>
          <w:r>
            <w:rPr>
              <w:rFonts w:cs="Arial"/>
              <w:sz w:val="20"/>
              <w:szCs w:val="22"/>
            </w:rPr>
            <w:t xml:space="preserve">Revision: </w:t>
          </w:r>
          <w:r w:rsidR="00400523">
            <w:rPr>
              <w:rFonts w:cs="Arial"/>
              <w:sz w:val="20"/>
              <w:szCs w:val="22"/>
            </w:rPr>
            <w:t>4</w:t>
          </w:r>
        </w:p>
      </w:tc>
      <w:tc>
        <w:tcPr>
          <w:tcW w:w="1847" w:type="dxa"/>
          <w:tcBorders>
            <w:top w:val="single" w:sz="8" w:space="0" w:color="auto"/>
          </w:tcBorders>
          <w:vAlign w:val="center"/>
        </w:tcPr>
        <w:sdt>
          <w:sdtPr>
            <w:rPr>
              <w:rFonts w:cs="Arial"/>
              <w:sz w:val="20"/>
              <w:szCs w:val="22"/>
            </w:rPr>
            <w:id w:val="-1713186135"/>
            <w:docPartObj>
              <w:docPartGallery w:val="Page Numbers (Top of Page)"/>
              <w:docPartUnique/>
            </w:docPartObj>
          </w:sdtPr>
          <w:sdtEndPr/>
          <w:sdtContent>
            <w:p w14:paraId="7A05DEE5" w14:textId="78FDB98A" w:rsidR="006007B0" w:rsidRPr="00BA513D" w:rsidRDefault="006007B0" w:rsidP="00BA513D">
              <w:pPr>
                <w:jc w:val="center"/>
                <w:rPr>
                  <w:rFonts w:cs="Arial"/>
                  <w:sz w:val="20"/>
                  <w:szCs w:val="22"/>
                </w:rPr>
              </w:pPr>
              <w:r w:rsidRPr="00BA513D">
                <w:rPr>
                  <w:rFonts w:cs="Arial"/>
                  <w:sz w:val="20"/>
                  <w:szCs w:val="22"/>
                </w:rPr>
                <w:t xml:space="preserve">Page </w:t>
              </w:r>
              <w:r w:rsidRPr="00BA513D">
                <w:rPr>
                  <w:rFonts w:cs="Arial"/>
                  <w:sz w:val="20"/>
                  <w:szCs w:val="22"/>
                </w:rPr>
                <w:fldChar w:fldCharType="begin"/>
              </w:r>
              <w:r w:rsidRPr="00BA513D">
                <w:rPr>
                  <w:rFonts w:cs="Arial"/>
                  <w:sz w:val="20"/>
                  <w:szCs w:val="22"/>
                </w:rPr>
                <w:instrText xml:space="preserve"> PAGE </w:instrText>
              </w:r>
              <w:r w:rsidRPr="00BA513D">
                <w:rPr>
                  <w:rFonts w:cs="Arial"/>
                  <w:sz w:val="20"/>
                  <w:szCs w:val="22"/>
                </w:rPr>
                <w:fldChar w:fldCharType="separate"/>
              </w:r>
              <w:r w:rsidR="00295060">
                <w:rPr>
                  <w:rFonts w:cs="Arial"/>
                  <w:noProof/>
                  <w:sz w:val="20"/>
                  <w:szCs w:val="22"/>
                </w:rPr>
                <w:t>1</w:t>
              </w:r>
              <w:r w:rsidRPr="00BA513D">
                <w:rPr>
                  <w:rFonts w:cs="Arial"/>
                  <w:sz w:val="20"/>
                  <w:szCs w:val="22"/>
                </w:rPr>
                <w:fldChar w:fldCharType="end"/>
              </w:r>
              <w:r w:rsidRPr="00BA513D">
                <w:rPr>
                  <w:rFonts w:cs="Arial"/>
                  <w:sz w:val="20"/>
                  <w:szCs w:val="22"/>
                </w:rPr>
                <w:t xml:space="preserve"> of </w:t>
              </w:r>
              <w:r w:rsidRPr="00BA513D">
                <w:rPr>
                  <w:rFonts w:cs="Arial"/>
                  <w:sz w:val="20"/>
                  <w:szCs w:val="22"/>
                </w:rPr>
                <w:fldChar w:fldCharType="begin"/>
              </w:r>
              <w:r w:rsidRPr="00BA513D">
                <w:rPr>
                  <w:rFonts w:cs="Arial"/>
                  <w:sz w:val="20"/>
                  <w:szCs w:val="22"/>
                </w:rPr>
                <w:instrText xml:space="preserve"> NUMPAGES  </w:instrText>
              </w:r>
              <w:r w:rsidRPr="00BA513D">
                <w:rPr>
                  <w:rFonts w:cs="Arial"/>
                  <w:sz w:val="20"/>
                  <w:szCs w:val="22"/>
                  <w:lang w:val="fr-CA"/>
                </w:rPr>
                <w:fldChar w:fldCharType="separate"/>
              </w:r>
              <w:r w:rsidR="00295060">
                <w:rPr>
                  <w:rFonts w:cs="Arial"/>
                  <w:noProof/>
                  <w:sz w:val="20"/>
                  <w:szCs w:val="22"/>
                </w:rPr>
                <w:t>1</w:t>
              </w:r>
              <w:r w:rsidRPr="00BA513D">
                <w:rPr>
                  <w:rFonts w:cs="Arial"/>
                  <w:noProof/>
                  <w:sz w:val="20"/>
                  <w:szCs w:val="22"/>
                </w:rPr>
                <w:fldChar w:fldCharType="end"/>
              </w:r>
            </w:p>
          </w:sdtContent>
        </w:sdt>
      </w:tc>
    </w:tr>
  </w:tbl>
  <w:p w14:paraId="0A078060" w14:textId="77777777" w:rsidR="006007B0" w:rsidRPr="006438BC" w:rsidRDefault="006007B0" w:rsidP="00654A61">
    <w:pPr>
      <w:pStyle w:val="Header"/>
      <w:tabs>
        <w:tab w:val="clear" w:pos="4703"/>
        <w:tab w:val="clear" w:pos="9406"/>
        <w:tab w:val="left" w:pos="7118"/>
      </w:tabs>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B5C"/>
    <w:multiLevelType w:val="hybridMultilevel"/>
    <w:tmpl w:val="F6361ED2"/>
    <w:lvl w:ilvl="0" w:tplc="0C0C0001">
      <w:start w:val="1"/>
      <w:numFmt w:val="bullet"/>
      <w:lvlText w:val=""/>
      <w:lvlJc w:val="left"/>
      <w:pPr>
        <w:ind w:left="2070" w:hanging="360"/>
      </w:pPr>
      <w:rPr>
        <w:rFonts w:ascii="Symbol" w:hAnsi="Symbol" w:hint="default"/>
      </w:rPr>
    </w:lvl>
    <w:lvl w:ilvl="1" w:tplc="0C0C0003" w:tentative="1">
      <w:start w:val="1"/>
      <w:numFmt w:val="bullet"/>
      <w:lvlText w:val="o"/>
      <w:lvlJc w:val="left"/>
      <w:pPr>
        <w:ind w:left="2790" w:hanging="360"/>
      </w:pPr>
      <w:rPr>
        <w:rFonts w:ascii="Courier New" w:hAnsi="Courier New" w:cs="Courier New" w:hint="default"/>
      </w:rPr>
    </w:lvl>
    <w:lvl w:ilvl="2" w:tplc="0C0C0005" w:tentative="1">
      <w:start w:val="1"/>
      <w:numFmt w:val="bullet"/>
      <w:lvlText w:val=""/>
      <w:lvlJc w:val="left"/>
      <w:pPr>
        <w:ind w:left="3510" w:hanging="360"/>
      </w:pPr>
      <w:rPr>
        <w:rFonts w:ascii="Wingdings" w:hAnsi="Wingdings" w:hint="default"/>
      </w:rPr>
    </w:lvl>
    <w:lvl w:ilvl="3" w:tplc="0C0C0001" w:tentative="1">
      <w:start w:val="1"/>
      <w:numFmt w:val="bullet"/>
      <w:lvlText w:val=""/>
      <w:lvlJc w:val="left"/>
      <w:pPr>
        <w:ind w:left="4230" w:hanging="360"/>
      </w:pPr>
      <w:rPr>
        <w:rFonts w:ascii="Symbol" w:hAnsi="Symbol" w:hint="default"/>
      </w:rPr>
    </w:lvl>
    <w:lvl w:ilvl="4" w:tplc="0C0C0003" w:tentative="1">
      <w:start w:val="1"/>
      <w:numFmt w:val="bullet"/>
      <w:lvlText w:val="o"/>
      <w:lvlJc w:val="left"/>
      <w:pPr>
        <w:ind w:left="4950" w:hanging="360"/>
      </w:pPr>
      <w:rPr>
        <w:rFonts w:ascii="Courier New" w:hAnsi="Courier New" w:cs="Courier New" w:hint="default"/>
      </w:rPr>
    </w:lvl>
    <w:lvl w:ilvl="5" w:tplc="0C0C0005" w:tentative="1">
      <w:start w:val="1"/>
      <w:numFmt w:val="bullet"/>
      <w:lvlText w:val=""/>
      <w:lvlJc w:val="left"/>
      <w:pPr>
        <w:ind w:left="5670" w:hanging="360"/>
      </w:pPr>
      <w:rPr>
        <w:rFonts w:ascii="Wingdings" w:hAnsi="Wingdings" w:hint="default"/>
      </w:rPr>
    </w:lvl>
    <w:lvl w:ilvl="6" w:tplc="0C0C0001" w:tentative="1">
      <w:start w:val="1"/>
      <w:numFmt w:val="bullet"/>
      <w:lvlText w:val=""/>
      <w:lvlJc w:val="left"/>
      <w:pPr>
        <w:ind w:left="6390" w:hanging="360"/>
      </w:pPr>
      <w:rPr>
        <w:rFonts w:ascii="Symbol" w:hAnsi="Symbol" w:hint="default"/>
      </w:rPr>
    </w:lvl>
    <w:lvl w:ilvl="7" w:tplc="0C0C0003" w:tentative="1">
      <w:start w:val="1"/>
      <w:numFmt w:val="bullet"/>
      <w:lvlText w:val="o"/>
      <w:lvlJc w:val="left"/>
      <w:pPr>
        <w:ind w:left="7110" w:hanging="360"/>
      </w:pPr>
      <w:rPr>
        <w:rFonts w:ascii="Courier New" w:hAnsi="Courier New" w:cs="Courier New" w:hint="default"/>
      </w:rPr>
    </w:lvl>
    <w:lvl w:ilvl="8" w:tplc="0C0C0005" w:tentative="1">
      <w:start w:val="1"/>
      <w:numFmt w:val="bullet"/>
      <w:lvlText w:val=""/>
      <w:lvlJc w:val="left"/>
      <w:pPr>
        <w:ind w:left="7830" w:hanging="360"/>
      </w:pPr>
      <w:rPr>
        <w:rFonts w:ascii="Wingdings" w:hAnsi="Wingdings" w:hint="default"/>
      </w:rPr>
    </w:lvl>
  </w:abstractNum>
  <w:abstractNum w:abstractNumId="1" w15:restartNumberingAfterBreak="0">
    <w:nsid w:val="045C5C47"/>
    <w:multiLevelType w:val="hybridMultilevel"/>
    <w:tmpl w:val="CBCC00EA"/>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15:restartNumberingAfterBreak="0">
    <w:nsid w:val="09D55790"/>
    <w:multiLevelType w:val="hybridMultilevel"/>
    <w:tmpl w:val="64DCB20E"/>
    <w:lvl w:ilvl="0" w:tplc="04090001">
      <w:start w:val="1"/>
      <w:numFmt w:val="bullet"/>
      <w:lvlText w:val=""/>
      <w:lvlJc w:val="left"/>
      <w:pPr>
        <w:ind w:left="3192" w:hanging="360"/>
      </w:pPr>
      <w:rPr>
        <w:rFonts w:ascii="Symbol" w:hAnsi="Symbol"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3" w15:restartNumberingAfterBreak="0">
    <w:nsid w:val="0D453836"/>
    <w:multiLevelType w:val="multilevel"/>
    <w:tmpl w:val="8848CA5E"/>
    <w:lvl w:ilvl="0">
      <w:start w:val="1"/>
      <w:numFmt w:val="decimal"/>
      <w:lvlText w:val="%1."/>
      <w:lvlJc w:val="left"/>
      <w:pPr>
        <w:ind w:left="360" w:hanging="360"/>
      </w:pPr>
      <w:rPr>
        <w:b/>
      </w:rPr>
    </w:lvl>
    <w:lvl w:ilvl="1">
      <w:start w:val="1"/>
      <w:numFmt w:val="decimal"/>
      <w:lvlText w:val="%1.%2."/>
      <w:lvlJc w:val="left"/>
      <w:pPr>
        <w:ind w:left="792" w:hanging="432"/>
      </w:pPr>
      <w:rPr>
        <w:b w:val="0"/>
        <w:i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AA0099"/>
    <w:multiLevelType w:val="hybridMultilevel"/>
    <w:tmpl w:val="20B41EE2"/>
    <w:lvl w:ilvl="0" w:tplc="0C0C0001">
      <w:start w:val="1"/>
      <w:numFmt w:val="bullet"/>
      <w:lvlText w:val=""/>
      <w:lvlJc w:val="left"/>
      <w:pPr>
        <w:ind w:left="2160" w:hanging="360"/>
      </w:pPr>
      <w:rPr>
        <w:rFonts w:ascii="Symbol" w:hAnsi="Symbol" w:hint="default"/>
      </w:rPr>
    </w:lvl>
    <w:lvl w:ilvl="1" w:tplc="0C0C0003">
      <w:start w:val="1"/>
      <w:numFmt w:val="bullet"/>
      <w:lvlText w:val="o"/>
      <w:lvlJc w:val="left"/>
      <w:pPr>
        <w:ind w:left="2880" w:hanging="360"/>
      </w:pPr>
      <w:rPr>
        <w:rFonts w:ascii="Courier New" w:hAnsi="Courier New" w:cs="Courier New" w:hint="default"/>
      </w:rPr>
    </w:lvl>
    <w:lvl w:ilvl="2" w:tplc="0C0C0005">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5" w15:restartNumberingAfterBreak="0">
    <w:nsid w:val="11F76D93"/>
    <w:multiLevelType w:val="hybridMultilevel"/>
    <w:tmpl w:val="0526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44D41"/>
    <w:multiLevelType w:val="hybridMultilevel"/>
    <w:tmpl w:val="F7868154"/>
    <w:lvl w:ilvl="0" w:tplc="04090001">
      <w:start w:val="1"/>
      <w:numFmt w:val="bullet"/>
      <w:lvlText w:val=""/>
      <w:lvlJc w:val="left"/>
      <w:pPr>
        <w:ind w:left="2847" w:hanging="360"/>
      </w:pPr>
      <w:rPr>
        <w:rFonts w:ascii="Symbol" w:hAnsi="Symbol" w:hint="default"/>
      </w:rPr>
    </w:lvl>
    <w:lvl w:ilvl="1" w:tplc="04090003">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7" w15:restartNumberingAfterBreak="0">
    <w:nsid w:val="12EE5682"/>
    <w:multiLevelType w:val="hybridMultilevel"/>
    <w:tmpl w:val="4BC2E1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1">
      <w:start w:val="1"/>
      <w:numFmt w:val="bullet"/>
      <w:lvlText w:val=""/>
      <w:lvlJc w:val="left"/>
      <w:pPr>
        <w:ind w:left="2160" w:hanging="360"/>
      </w:pPr>
      <w:rPr>
        <w:rFonts w:ascii="Symbol" w:hAnsi="Symbol"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418188E"/>
    <w:multiLevelType w:val="hybridMultilevel"/>
    <w:tmpl w:val="80DE5D7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1C91151B"/>
    <w:multiLevelType w:val="hybridMultilevel"/>
    <w:tmpl w:val="CD62C36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1CD37979"/>
    <w:multiLevelType w:val="hybridMultilevel"/>
    <w:tmpl w:val="E96EB4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1DC419A4"/>
    <w:multiLevelType w:val="hybridMultilevel"/>
    <w:tmpl w:val="B95465E8"/>
    <w:lvl w:ilvl="0" w:tplc="10090001">
      <w:start w:val="1"/>
      <w:numFmt w:val="bullet"/>
      <w:lvlText w:val=""/>
      <w:lvlJc w:val="left"/>
      <w:pPr>
        <w:ind w:left="2138" w:hanging="360"/>
      </w:pPr>
      <w:rPr>
        <w:rFonts w:ascii="Symbol" w:hAnsi="Symbol" w:hint="default"/>
      </w:rPr>
    </w:lvl>
    <w:lvl w:ilvl="1" w:tplc="10090003" w:tentative="1">
      <w:start w:val="1"/>
      <w:numFmt w:val="bullet"/>
      <w:lvlText w:val="o"/>
      <w:lvlJc w:val="left"/>
      <w:pPr>
        <w:ind w:left="2858" w:hanging="360"/>
      </w:pPr>
      <w:rPr>
        <w:rFonts w:ascii="Courier New" w:hAnsi="Courier New" w:cs="Courier New" w:hint="default"/>
      </w:rPr>
    </w:lvl>
    <w:lvl w:ilvl="2" w:tplc="10090005" w:tentative="1">
      <w:start w:val="1"/>
      <w:numFmt w:val="bullet"/>
      <w:lvlText w:val=""/>
      <w:lvlJc w:val="left"/>
      <w:pPr>
        <w:ind w:left="3578" w:hanging="360"/>
      </w:pPr>
      <w:rPr>
        <w:rFonts w:ascii="Wingdings" w:hAnsi="Wingdings" w:hint="default"/>
      </w:rPr>
    </w:lvl>
    <w:lvl w:ilvl="3" w:tplc="10090001" w:tentative="1">
      <w:start w:val="1"/>
      <w:numFmt w:val="bullet"/>
      <w:lvlText w:val=""/>
      <w:lvlJc w:val="left"/>
      <w:pPr>
        <w:ind w:left="4298" w:hanging="360"/>
      </w:pPr>
      <w:rPr>
        <w:rFonts w:ascii="Symbol" w:hAnsi="Symbol" w:hint="default"/>
      </w:rPr>
    </w:lvl>
    <w:lvl w:ilvl="4" w:tplc="10090003" w:tentative="1">
      <w:start w:val="1"/>
      <w:numFmt w:val="bullet"/>
      <w:lvlText w:val="o"/>
      <w:lvlJc w:val="left"/>
      <w:pPr>
        <w:ind w:left="5018" w:hanging="360"/>
      </w:pPr>
      <w:rPr>
        <w:rFonts w:ascii="Courier New" w:hAnsi="Courier New" w:cs="Courier New" w:hint="default"/>
      </w:rPr>
    </w:lvl>
    <w:lvl w:ilvl="5" w:tplc="10090005" w:tentative="1">
      <w:start w:val="1"/>
      <w:numFmt w:val="bullet"/>
      <w:lvlText w:val=""/>
      <w:lvlJc w:val="left"/>
      <w:pPr>
        <w:ind w:left="5738" w:hanging="360"/>
      </w:pPr>
      <w:rPr>
        <w:rFonts w:ascii="Wingdings" w:hAnsi="Wingdings" w:hint="default"/>
      </w:rPr>
    </w:lvl>
    <w:lvl w:ilvl="6" w:tplc="10090001" w:tentative="1">
      <w:start w:val="1"/>
      <w:numFmt w:val="bullet"/>
      <w:lvlText w:val=""/>
      <w:lvlJc w:val="left"/>
      <w:pPr>
        <w:ind w:left="6458" w:hanging="360"/>
      </w:pPr>
      <w:rPr>
        <w:rFonts w:ascii="Symbol" w:hAnsi="Symbol" w:hint="default"/>
      </w:rPr>
    </w:lvl>
    <w:lvl w:ilvl="7" w:tplc="10090003" w:tentative="1">
      <w:start w:val="1"/>
      <w:numFmt w:val="bullet"/>
      <w:lvlText w:val="o"/>
      <w:lvlJc w:val="left"/>
      <w:pPr>
        <w:ind w:left="7178" w:hanging="360"/>
      </w:pPr>
      <w:rPr>
        <w:rFonts w:ascii="Courier New" w:hAnsi="Courier New" w:cs="Courier New" w:hint="default"/>
      </w:rPr>
    </w:lvl>
    <w:lvl w:ilvl="8" w:tplc="10090005" w:tentative="1">
      <w:start w:val="1"/>
      <w:numFmt w:val="bullet"/>
      <w:lvlText w:val=""/>
      <w:lvlJc w:val="left"/>
      <w:pPr>
        <w:ind w:left="7898" w:hanging="360"/>
      </w:pPr>
      <w:rPr>
        <w:rFonts w:ascii="Wingdings" w:hAnsi="Wingdings" w:hint="default"/>
      </w:rPr>
    </w:lvl>
  </w:abstractNum>
  <w:abstractNum w:abstractNumId="12" w15:restartNumberingAfterBreak="0">
    <w:nsid w:val="1FBF26BA"/>
    <w:multiLevelType w:val="hybridMultilevel"/>
    <w:tmpl w:val="AD8E8CCC"/>
    <w:lvl w:ilvl="0" w:tplc="0C0C0001">
      <w:start w:val="1"/>
      <w:numFmt w:val="bullet"/>
      <w:lvlText w:val=""/>
      <w:lvlJc w:val="left"/>
      <w:pPr>
        <w:ind w:left="2160" w:hanging="360"/>
      </w:pPr>
      <w:rPr>
        <w:rFonts w:ascii="Symbol" w:hAnsi="Symbo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13" w15:restartNumberingAfterBreak="0">
    <w:nsid w:val="20F63D4B"/>
    <w:multiLevelType w:val="hybridMultilevel"/>
    <w:tmpl w:val="60204A4A"/>
    <w:lvl w:ilvl="0" w:tplc="0C0C0001">
      <w:start w:val="1"/>
      <w:numFmt w:val="bullet"/>
      <w:lvlText w:val=""/>
      <w:lvlJc w:val="left"/>
      <w:pPr>
        <w:ind w:left="2487" w:hanging="360"/>
      </w:pPr>
      <w:rPr>
        <w:rFonts w:ascii="Symbol" w:hAnsi="Symbol" w:hint="default"/>
      </w:rPr>
    </w:lvl>
    <w:lvl w:ilvl="1" w:tplc="0C0C0003" w:tentative="1">
      <w:start w:val="1"/>
      <w:numFmt w:val="bullet"/>
      <w:lvlText w:val="o"/>
      <w:lvlJc w:val="left"/>
      <w:pPr>
        <w:ind w:left="3207" w:hanging="360"/>
      </w:pPr>
      <w:rPr>
        <w:rFonts w:ascii="Courier New" w:hAnsi="Courier New" w:cs="Courier New" w:hint="default"/>
      </w:rPr>
    </w:lvl>
    <w:lvl w:ilvl="2" w:tplc="0C0C0005" w:tentative="1">
      <w:start w:val="1"/>
      <w:numFmt w:val="bullet"/>
      <w:lvlText w:val=""/>
      <w:lvlJc w:val="left"/>
      <w:pPr>
        <w:ind w:left="3927" w:hanging="360"/>
      </w:pPr>
      <w:rPr>
        <w:rFonts w:ascii="Wingdings" w:hAnsi="Wingdings" w:hint="default"/>
      </w:rPr>
    </w:lvl>
    <w:lvl w:ilvl="3" w:tplc="0C0C0001" w:tentative="1">
      <w:start w:val="1"/>
      <w:numFmt w:val="bullet"/>
      <w:lvlText w:val=""/>
      <w:lvlJc w:val="left"/>
      <w:pPr>
        <w:ind w:left="4647" w:hanging="360"/>
      </w:pPr>
      <w:rPr>
        <w:rFonts w:ascii="Symbol" w:hAnsi="Symbol" w:hint="default"/>
      </w:rPr>
    </w:lvl>
    <w:lvl w:ilvl="4" w:tplc="0C0C0003" w:tentative="1">
      <w:start w:val="1"/>
      <w:numFmt w:val="bullet"/>
      <w:lvlText w:val="o"/>
      <w:lvlJc w:val="left"/>
      <w:pPr>
        <w:ind w:left="5367" w:hanging="360"/>
      </w:pPr>
      <w:rPr>
        <w:rFonts w:ascii="Courier New" w:hAnsi="Courier New" w:cs="Courier New" w:hint="default"/>
      </w:rPr>
    </w:lvl>
    <w:lvl w:ilvl="5" w:tplc="0C0C0005" w:tentative="1">
      <w:start w:val="1"/>
      <w:numFmt w:val="bullet"/>
      <w:lvlText w:val=""/>
      <w:lvlJc w:val="left"/>
      <w:pPr>
        <w:ind w:left="6087" w:hanging="360"/>
      </w:pPr>
      <w:rPr>
        <w:rFonts w:ascii="Wingdings" w:hAnsi="Wingdings" w:hint="default"/>
      </w:rPr>
    </w:lvl>
    <w:lvl w:ilvl="6" w:tplc="0C0C0001" w:tentative="1">
      <w:start w:val="1"/>
      <w:numFmt w:val="bullet"/>
      <w:lvlText w:val=""/>
      <w:lvlJc w:val="left"/>
      <w:pPr>
        <w:ind w:left="6807" w:hanging="360"/>
      </w:pPr>
      <w:rPr>
        <w:rFonts w:ascii="Symbol" w:hAnsi="Symbol" w:hint="default"/>
      </w:rPr>
    </w:lvl>
    <w:lvl w:ilvl="7" w:tplc="0C0C0003" w:tentative="1">
      <w:start w:val="1"/>
      <w:numFmt w:val="bullet"/>
      <w:lvlText w:val="o"/>
      <w:lvlJc w:val="left"/>
      <w:pPr>
        <w:ind w:left="7527" w:hanging="360"/>
      </w:pPr>
      <w:rPr>
        <w:rFonts w:ascii="Courier New" w:hAnsi="Courier New" w:cs="Courier New" w:hint="default"/>
      </w:rPr>
    </w:lvl>
    <w:lvl w:ilvl="8" w:tplc="0C0C0005" w:tentative="1">
      <w:start w:val="1"/>
      <w:numFmt w:val="bullet"/>
      <w:lvlText w:val=""/>
      <w:lvlJc w:val="left"/>
      <w:pPr>
        <w:ind w:left="8247" w:hanging="360"/>
      </w:pPr>
      <w:rPr>
        <w:rFonts w:ascii="Wingdings" w:hAnsi="Wingdings" w:hint="default"/>
      </w:rPr>
    </w:lvl>
  </w:abstractNum>
  <w:abstractNum w:abstractNumId="14" w15:restartNumberingAfterBreak="0">
    <w:nsid w:val="238D1B68"/>
    <w:multiLevelType w:val="hybridMultilevel"/>
    <w:tmpl w:val="305CB3EA"/>
    <w:lvl w:ilvl="0" w:tplc="04090001">
      <w:start w:val="1"/>
      <w:numFmt w:val="bullet"/>
      <w:lvlText w:val=""/>
      <w:lvlJc w:val="left"/>
      <w:pPr>
        <w:ind w:left="2847" w:hanging="360"/>
      </w:pPr>
      <w:rPr>
        <w:rFonts w:ascii="Symbol" w:hAnsi="Symbol" w:hint="default"/>
      </w:rPr>
    </w:lvl>
    <w:lvl w:ilvl="1" w:tplc="04090003">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5" w15:restartNumberingAfterBreak="0">
    <w:nsid w:val="30AC6C7D"/>
    <w:multiLevelType w:val="multilevel"/>
    <w:tmpl w:val="8848CA5E"/>
    <w:lvl w:ilvl="0">
      <w:start w:val="1"/>
      <w:numFmt w:val="decimal"/>
      <w:lvlText w:val="%1."/>
      <w:lvlJc w:val="left"/>
      <w:pPr>
        <w:ind w:left="360" w:hanging="360"/>
      </w:pPr>
      <w:rPr>
        <w:b/>
      </w:rPr>
    </w:lvl>
    <w:lvl w:ilvl="1">
      <w:start w:val="1"/>
      <w:numFmt w:val="decimal"/>
      <w:lvlText w:val="%1.%2."/>
      <w:lvlJc w:val="left"/>
      <w:pPr>
        <w:ind w:left="792" w:hanging="432"/>
      </w:pPr>
      <w:rPr>
        <w:b w:val="0"/>
        <w:i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D177C1"/>
    <w:multiLevelType w:val="multilevel"/>
    <w:tmpl w:val="13727B0A"/>
    <w:lvl w:ilvl="0">
      <w:start w:val="4"/>
      <w:numFmt w:val="decimal"/>
      <w:lvlText w:val="%1"/>
      <w:lvlJc w:val="left"/>
      <w:pPr>
        <w:ind w:left="360" w:hanging="360"/>
      </w:pPr>
      <w:rPr>
        <w:rFonts w:hint="default"/>
      </w:rPr>
    </w:lvl>
    <w:lvl w:ilvl="1">
      <w:start w:val="1"/>
      <w:numFmt w:val="decimal"/>
      <w:lvlText w:val="%1.%2"/>
      <w:lvlJc w:val="left"/>
      <w:pPr>
        <w:ind w:left="1950" w:hanging="360"/>
      </w:pPr>
      <w:rPr>
        <w:rFonts w:hint="default"/>
      </w:rPr>
    </w:lvl>
    <w:lvl w:ilvl="2">
      <w:start w:val="1"/>
      <w:numFmt w:val="decimal"/>
      <w:lvlText w:val="%1.%2.%3"/>
      <w:lvlJc w:val="left"/>
      <w:pPr>
        <w:ind w:left="3900" w:hanging="720"/>
      </w:pPr>
      <w:rPr>
        <w:rFonts w:hint="default"/>
      </w:rPr>
    </w:lvl>
    <w:lvl w:ilvl="3">
      <w:start w:val="1"/>
      <w:numFmt w:val="decimal"/>
      <w:lvlText w:val="%1.%2.%3.%4"/>
      <w:lvlJc w:val="left"/>
      <w:pPr>
        <w:ind w:left="5490" w:hanging="720"/>
      </w:pPr>
      <w:rPr>
        <w:rFonts w:hint="default"/>
      </w:rPr>
    </w:lvl>
    <w:lvl w:ilvl="4">
      <w:start w:val="1"/>
      <w:numFmt w:val="decimal"/>
      <w:lvlText w:val="%1.%2.%3.%4.%5"/>
      <w:lvlJc w:val="left"/>
      <w:pPr>
        <w:ind w:left="7440" w:hanging="1080"/>
      </w:pPr>
      <w:rPr>
        <w:rFonts w:hint="default"/>
      </w:rPr>
    </w:lvl>
    <w:lvl w:ilvl="5">
      <w:start w:val="1"/>
      <w:numFmt w:val="decimal"/>
      <w:lvlText w:val="%1.%2.%3.%4.%5.%6"/>
      <w:lvlJc w:val="left"/>
      <w:pPr>
        <w:ind w:left="9030" w:hanging="1080"/>
      </w:pPr>
      <w:rPr>
        <w:rFonts w:hint="default"/>
      </w:rPr>
    </w:lvl>
    <w:lvl w:ilvl="6">
      <w:start w:val="1"/>
      <w:numFmt w:val="decimal"/>
      <w:lvlText w:val="%1.%2.%3.%4.%5.%6.%7"/>
      <w:lvlJc w:val="left"/>
      <w:pPr>
        <w:ind w:left="10980" w:hanging="1440"/>
      </w:pPr>
      <w:rPr>
        <w:rFonts w:hint="default"/>
      </w:rPr>
    </w:lvl>
    <w:lvl w:ilvl="7">
      <w:start w:val="1"/>
      <w:numFmt w:val="decimal"/>
      <w:lvlText w:val="%1.%2.%3.%4.%5.%6.%7.%8"/>
      <w:lvlJc w:val="left"/>
      <w:pPr>
        <w:ind w:left="12570" w:hanging="1440"/>
      </w:pPr>
      <w:rPr>
        <w:rFonts w:hint="default"/>
      </w:rPr>
    </w:lvl>
    <w:lvl w:ilvl="8">
      <w:start w:val="1"/>
      <w:numFmt w:val="decimal"/>
      <w:lvlText w:val="%1.%2.%3.%4.%5.%6.%7.%8.%9"/>
      <w:lvlJc w:val="left"/>
      <w:pPr>
        <w:ind w:left="14520" w:hanging="1800"/>
      </w:pPr>
      <w:rPr>
        <w:rFonts w:hint="default"/>
      </w:rPr>
    </w:lvl>
  </w:abstractNum>
  <w:abstractNum w:abstractNumId="17" w15:restartNumberingAfterBreak="0">
    <w:nsid w:val="346A03DC"/>
    <w:multiLevelType w:val="hybridMultilevel"/>
    <w:tmpl w:val="8ACC56B0"/>
    <w:lvl w:ilvl="0" w:tplc="0C0C0001">
      <w:start w:val="1"/>
      <w:numFmt w:val="bullet"/>
      <w:lvlText w:val=""/>
      <w:lvlJc w:val="left"/>
      <w:pPr>
        <w:ind w:left="2160" w:hanging="360"/>
      </w:pPr>
      <w:rPr>
        <w:rFonts w:ascii="Symbol" w:hAnsi="Symbo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18" w15:restartNumberingAfterBreak="0">
    <w:nsid w:val="35595E58"/>
    <w:multiLevelType w:val="hybridMultilevel"/>
    <w:tmpl w:val="4C20F408"/>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356B0B85"/>
    <w:multiLevelType w:val="hybridMultilevel"/>
    <w:tmpl w:val="4E128F0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15:restartNumberingAfterBreak="0">
    <w:nsid w:val="392C1ED9"/>
    <w:multiLevelType w:val="hybridMultilevel"/>
    <w:tmpl w:val="F1B67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935F12"/>
    <w:multiLevelType w:val="hybridMultilevel"/>
    <w:tmpl w:val="592C7238"/>
    <w:lvl w:ilvl="0" w:tplc="0C0C0001">
      <w:start w:val="1"/>
      <w:numFmt w:val="bullet"/>
      <w:lvlText w:val=""/>
      <w:lvlJc w:val="left"/>
      <w:pPr>
        <w:ind w:left="936" w:hanging="360"/>
      </w:pPr>
      <w:rPr>
        <w:rFonts w:ascii="Symbol" w:hAnsi="Symbol" w:hint="default"/>
      </w:rPr>
    </w:lvl>
    <w:lvl w:ilvl="1" w:tplc="0C0C0001">
      <w:start w:val="1"/>
      <w:numFmt w:val="bullet"/>
      <w:lvlText w:val=""/>
      <w:lvlJc w:val="left"/>
      <w:pPr>
        <w:ind w:left="1656" w:hanging="360"/>
      </w:pPr>
      <w:rPr>
        <w:rFonts w:ascii="Symbol" w:hAnsi="Symbol" w:hint="default"/>
      </w:rPr>
    </w:lvl>
    <w:lvl w:ilvl="2" w:tplc="0C0C0001">
      <w:start w:val="1"/>
      <w:numFmt w:val="bullet"/>
      <w:lvlText w:val=""/>
      <w:lvlJc w:val="left"/>
      <w:pPr>
        <w:ind w:left="2376" w:hanging="360"/>
      </w:pPr>
      <w:rPr>
        <w:rFonts w:ascii="Symbol" w:hAnsi="Symbol" w:hint="default"/>
      </w:rPr>
    </w:lvl>
    <w:lvl w:ilvl="3" w:tplc="0C0C0001" w:tentative="1">
      <w:start w:val="1"/>
      <w:numFmt w:val="bullet"/>
      <w:lvlText w:val=""/>
      <w:lvlJc w:val="left"/>
      <w:pPr>
        <w:ind w:left="3096" w:hanging="360"/>
      </w:pPr>
      <w:rPr>
        <w:rFonts w:ascii="Symbol" w:hAnsi="Symbol" w:hint="default"/>
      </w:rPr>
    </w:lvl>
    <w:lvl w:ilvl="4" w:tplc="0C0C0003" w:tentative="1">
      <w:start w:val="1"/>
      <w:numFmt w:val="bullet"/>
      <w:lvlText w:val="o"/>
      <w:lvlJc w:val="left"/>
      <w:pPr>
        <w:ind w:left="3816" w:hanging="360"/>
      </w:pPr>
      <w:rPr>
        <w:rFonts w:ascii="Courier New" w:hAnsi="Courier New" w:cs="Courier New" w:hint="default"/>
      </w:rPr>
    </w:lvl>
    <w:lvl w:ilvl="5" w:tplc="0C0C0005" w:tentative="1">
      <w:start w:val="1"/>
      <w:numFmt w:val="bullet"/>
      <w:lvlText w:val=""/>
      <w:lvlJc w:val="left"/>
      <w:pPr>
        <w:ind w:left="4536" w:hanging="360"/>
      </w:pPr>
      <w:rPr>
        <w:rFonts w:ascii="Wingdings" w:hAnsi="Wingdings" w:hint="default"/>
      </w:rPr>
    </w:lvl>
    <w:lvl w:ilvl="6" w:tplc="0C0C0001" w:tentative="1">
      <w:start w:val="1"/>
      <w:numFmt w:val="bullet"/>
      <w:lvlText w:val=""/>
      <w:lvlJc w:val="left"/>
      <w:pPr>
        <w:ind w:left="5256" w:hanging="360"/>
      </w:pPr>
      <w:rPr>
        <w:rFonts w:ascii="Symbol" w:hAnsi="Symbol" w:hint="default"/>
      </w:rPr>
    </w:lvl>
    <w:lvl w:ilvl="7" w:tplc="0C0C0003" w:tentative="1">
      <w:start w:val="1"/>
      <w:numFmt w:val="bullet"/>
      <w:lvlText w:val="o"/>
      <w:lvlJc w:val="left"/>
      <w:pPr>
        <w:ind w:left="5976" w:hanging="360"/>
      </w:pPr>
      <w:rPr>
        <w:rFonts w:ascii="Courier New" w:hAnsi="Courier New" w:cs="Courier New" w:hint="default"/>
      </w:rPr>
    </w:lvl>
    <w:lvl w:ilvl="8" w:tplc="0C0C0005" w:tentative="1">
      <w:start w:val="1"/>
      <w:numFmt w:val="bullet"/>
      <w:lvlText w:val=""/>
      <w:lvlJc w:val="left"/>
      <w:pPr>
        <w:ind w:left="6696" w:hanging="360"/>
      </w:pPr>
      <w:rPr>
        <w:rFonts w:ascii="Wingdings" w:hAnsi="Wingdings" w:hint="default"/>
      </w:rPr>
    </w:lvl>
  </w:abstractNum>
  <w:abstractNum w:abstractNumId="22" w15:restartNumberingAfterBreak="0">
    <w:nsid w:val="3D146561"/>
    <w:multiLevelType w:val="hybridMultilevel"/>
    <w:tmpl w:val="14D0B29E"/>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3" w15:restartNumberingAfterBreak="0">
    <w:nsid w:val="41756C23"/>
    <w:multiLevelType w:val="hybridMultilevel"/>
    <w:tmpl w:val="76C4D27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4" w15:restartNumberingAfterBreak="0">
    <w:nsid w:val="443207D7"/>
    <w:multiLevelType w:val="hybridMultilevel"/>
    <w:tmpl w:val="CCC88E3C"/>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5" w15:restartNumberingAfterBreak="0">
    <w:nsid w:val="46421577"/>
    <w:multiLevelType w:val="hybridMultilevel"/>
    <w:tmpl w:val="5EC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95BCD"/>
    <w:multiLevelType w:val="hybridMultilevel"/>
    <w:tmpl w:val="43B299C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5C8B1363"/>
    <w:multiLevelType w:val="hybridMultilevel"/>
    <w:tmpl w:val="EBFE37F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8" w15:restartNumberingAfterBreak="0">
    <w:nsid w:val="5D9B5408"/>
    <w:multiLevelType w:val="hybridMultilevel"/>
    <w:tmpl w:val="D88ACF8E"/>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9" w15:restartNumberingAfterBreak="0">
    <w:nsid w:val="61D31C5C"/>
    <w:multiLevelType w:val="hybridMultilevel"/>
    <w:tmpl w:val="F25429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62E23ED2"/>
    <w:multiLevelType w:val="hybridMultilevel"/>
    <w:tmpl w:val="58D0A4B6"/>
    <w:lvl w:ilvl="0" w:tplc="04090001">
      <w:start w:val="1"/>
      <w:numFmt w:val="bullet"/>
      <w:lvlText w:val=""/>
      <w:lvlJc w:val="left"/>
      <w:pPr>
        <w:ind w:left="2484" w:hanging="360"/>
      </w:pPr>
      <w:rPr>
        <w:rFonts w:ascii="Symbol" w:hAnsi="Symbol" w:hint="default"/>
      </w:rPr>
    </w:lvl>
    <w:lvl w:ilvl="1" w:tplc="04090003">
      <w:start w:val="1"/>
      <w:numFmt w:val="bullet"/>
      <w:lvlText w:val="o"/>
      <w:lvlJc w:val="left"/>
      <w:pPr>
        <w:ind w:left="3204" w:hanging="360"/>
      </w:pPr>
      <w:rPr>
        <w:rFonts w:ascii="Courier New" w:hAnsi="Courier New" w:cs="Courier New" w:hint="default"/>
      </w:rPr>
    </w:lvl>
    <w:lvl w:ilvl="2" w:tplc="04090005">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31" w15:restartNumberingAfterBreak="0">
    <w:nsid w:val="64D519A2"/>
    <w:multiLevelType w:val="hybridMultilevel"/>
    <w:tmpl w:val="001A5C86"/>
    <w:lvl w:ilvl="0" w:tplc="0C0C0001">
      <w:start w:val="1"/>
      <w:numFmt w:val="bullet"/>
      <w:lvlText w:val=""/>
      <w:lvlJc w:val="left"/>
      <w:pPr>
        <w:ind w:left="2160" w:hanging="360"/>
      </w:pPr>
      <w:rPr>
        <w:rFonts w:ascii="Symbol" w:hAnsi="Symbol" w:hint="default"/>
      </w:rPr>
    </w:lvl>
    <w:lvl w:ilvl="1" w:tplc="0C0C0003">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32" w15:restartNumberingAfterBreak="0">
    <w:nsid w:val="69B47DC8"/>
    <w:multiLevelType w:val="hybridMultilevel"/>
    <w:tmpl w:val="7584D7E4"/>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33" w15:restartNumberingAfterBreak="0">
    <w:nsid w:val="6B5D23E7"/>
    <w:multiLevelType w:val="hybridMultilevel"/>
    <w:tmpl w:val="3B5805E6"/>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34" w15:restartNumberingAfterBreak="0">
    <w:nsid w:val="6BF26333"/>
    <w:multiLevelType w:val="hybridMultilevel"/>
    <w:tmpl w:val="BEDE041C"/>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35" w15:restartNumberingAfterBreak="0">
    <w:nsid w:val="70EC63C7"/>
    <w:multiLevelType w:val="hybridMultilevel"/>
    <w:tmpl w:val="281052C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6" w15:restartNumberingAfterBreak="0">
    <w:nsid w:val="72027A0F"/>
    <w:multiLevelType w:val="hybridMultilevel"/>
    <w:tmpl w:val="C6BC8F0A"/>
    <w:lvl w:ilvl="0" w:tplc="10090001">
      <w:start w:val="1"/>
      <w:numFmt w:val="bullet"/>
      <w:lvlText w:val=""/>
      <w:lvlJc w:val="left"/>
      <w:pPr>
        <w:ind w:left="2138" w:hanging="360"/>
      </w:pPr>
      <w:rPr>
        <w:rFonts w:ascii="Symbol" w:hAnsi="Symbol" w:hint="default"/>
      </w:rPr>
    </w:lvl>
    <w:lvl w:ilvl="1" w:tplc="10090003">
      <w:start w:val="1"/>
      <w:numFmt w:val="bullet"/>
      <w:lvlText w:val="o"/>
      <w:lvlJc w:val="left"/>
      <w:pPr>
        <w:ind w:left="2858" w:hanging="360"/>
      </w:pPr>
      <w:rPr>
        <w:rFonts w:ascii="Courier New" w:hAnsi="Courier New" w:cs="Courier New" w:hint="default"/>
      </w:rPr>
    </w:lvl>
    <w:lvl w:ilvl="2" w:tplc="10090005">
      <w:start w:val="1"/>
      <w:numFmt w:val="bullet"/>
      <w:lvlText w:val=""/>
      <w:lvlJc w:val="left"/>
      <w:pPr>
        <w:ind w:left="3578" w:hanging="360"/>
      </w:pPr>
      <w:rPr>
        <w:rFonts w:ascii="Wingdings" w:hAnsi="Wingdings" w:hint="default"/>
      </w:rPr>
    </w:lvl>
    <w:lvl w:ilvl="3" w:tplc="10090001" w:tentative="1">
      <w:start w:val="1"/>
      <w:numFmt w:val="bullet"/>
      <w:lvlText w:val=""/>
      <w:lvlJc w:val="left"/>
      <w:pPr>
        <w:ind w:left="4298" w:hanging="360"/>
      </w:pPr>
      <w:rPr>
        <w:rFonts w:ascii="Symbol" w:hAnsi="Symbol" w:hint="default"/>
      </w:rPr>
    </w:lvl>
    <w:lvl w:ilvl="4" w:tplc="10090003" w:tentative="1">
      <w:start w:val="1"/>
      <w:numFmt w:val="bullet"/>
      <w:lvlText w:val="o"/>
      <w:lvlJc w:val="left"/>
      <w:pPr>
        <w:ind w:left="5018" w:hanging="360"/>
      </w:pPr>
      <w:rPr>
        <w:rFonts w:ascii="Courier New" w:hAnsi="Courier New" w:cs="Courier New" w:hint="default"/>
      </w:rPr>
    </w:lvl>
    <w:lvl w:ilvl="5" w:tplc="10090005" w:tentative="1">
      <w:start w:val="1"/>
      <w:numFmt w:val="bullet"/>
      <w:lvlText w:val=""/>
      <w:lvlJc w:val="left"/>
      <w:pPr>
        <w:ind w:left="5738" w:hanging="360"/>
      </w:pPr>
      <w:rPr>
        <w:rFonts w:ascii="Wingdings" w:hAnsi="Wingdings" w:hint="default"/>
      </w:rPr>
    </w:lvl>
    <w:lvl w:ilvl="6" w:tplc="10090001" w:tentative="1">
      <w:start w:val="1"/>
      <w:numFmt w:val="bullet"/>
      <w:lvlText w:val=""/>
      <w:lvlJc w:val="left"/>
      <w:pPr>
        <w:ind w:left="6458" w:hanging="360"/>
      </w:pPr>
      <w:rPr>
        <w:rFonts w:ascii="Symbol" w:hAnsi="Symbol" w:hint="default"/>
      </w:rPr>
    </w:lvl>
    <w:lvl w:ilvl="7" w:tplc="10090003" w:tentative="1">
      <w:start w:val="1"/>
      <w:numFmt w:val="bullet"/>
      <w:lvlText w:val="o"/>
      <w:lvlJc w:val="left"/>
      <w:pPr>
        <w:ind w:left="7178" w:hanging="360"/>
      </w:pPr>
      <w:rPr>
        <w:rFonts w:ascii="Courier New" w:hAnsi="Courier New" w:cs="Courier New" w:hint="default"/>
      </w:rPr>
    </w:lvl>
    <w:lvl w:ilvl="8" w:tplc="10090005" w:tentative="1">
      <w:start w:val="1"/>
      <w:numFmt w:val="bullet"/>
      <w:lvlText w:val=""/>
      <w:lvlJc w:val="left"/>
      <w:pPr>
        <w:ind w:left="7898" w:hanging="360"/>
      </w:pPr>
      <w:rPr>
        <w:rFonts w:ascii="Wingdings" w:hAnsi="Wingdings" w:hint="default"/>
      </w:rPr>
    </w:lvl>
  </w:abstractNum>
  <w:abstractNum w:abstractNumId="37" w15:restartNumberingAfterBreak="0">
    <w:nsid w:val="79742A8D"/>
    <w:multiLevelType w:val="hybridMultilevel"/>
    <w:tmpl w:val="36246B96"/>
    <w:lvl w:ilvl="0" w:tplc="10090001">
      <w:start w:val="1"/>
      <w:numFmt w:val="bullet"/>
      <w:lvlText w:val=""/>
      <w:lvlJc w:val="left"/>
      <w:pPr>
        <w:ind w:left="2138" w:hanging="360"/>
      </w:pPr>
      <w:rPr>
        <w:rFonts w:ascii="Symbol" w:hAnsi="Symbol" w:hint="default"/>
      </w:rPr>
    </w:lvl>
    <w:lvl w:ilvl="1" w:tplc="10090003">
      <w:start w:val="1"/>
      <w:numFmt w:val="bullet"/>
      <w:lvlText w:val="o"/>
      <w:lvlJc w:val="left"/>
      <w:pPr>
        <w:ind w:left="2858" w:hanging="360"/>
      </w:pPr>
      <w:rPr>
        <w:rFonts w:ascii="Courier New" w:hAnsi="Courier New" w:cs="Courier New" w:hint="default"/>
      </w:rPr>
    </w:lvl>
    <w:lvl w:ilvl="2" w:tplc="10090005">
      <w:start w:val="1"/>
      <w:numFmt w:val="bullet"/>
      <w:lvlText w:val=""/>
      <w:lvlJc w:val="left"/>
      <w:pPr>
        <w:ind w:left="3578" w:hanging="360"/>
      </w:pPr>
      <w:rPr>
        <w:rFonts w:ascii="Wingdings" w:hAnsi="Wingdings" w:hint="default"/>
      </w:rPr>
    </w:lvl>
    <w:lvl w:ilvl="3" w:tplc="10090001" w:tentative="1">
      <w:start w:val="1"/>
      <w:numFmt w:val="bullet"/>
      <w:lvlText w:val=""/>
      <w:lvlJc w:val="left"/>
      <w:pPr>
        <w:ind w:left="4298" w:hanging="360"/>
      </w:pPr>
      <w:rPr>
        <w:rFonts w:ascii="Symbol" w:hAnsi="Symbol" w:hint="default"/>
      </w:rPr>
    </w:lvl>
    <w:lvl w:ilvl="4" w:tplc="10090003" w:tentative="1">
      <w:start w:val="1"/>
      <w:numFmt w:val="bullet"/>
      <w:lvlText w:val="o"/>
      <w:lvlJc w:val="left"/>
      <w:pPr>
        <w:ind w:left="5018" w:hanging="360"/>
      </w:pPr>
      <w:rPr>
        <w:rFonts w:ascii="Courier New" w:hAnsi="Courier New" w:cs="Courier New" w:hint="default"/>
      </w:rPr>
    </w:lvl>
    <w:lvl w:ilvl="5" w:tplc="10090005" w:tentative="1">
      <w:start w:val="1"/>
      <w:numFmt w:val="bullet"/>
      <w:lvlText w:val=""/>
      <w:lvlJc w:val="left"/>
      <w:pPr>
        <w:ind w:left="5738" w:hanging="360"/>
      </w:pPr>
      <w:rPr>
        <w:rFonts w:ascii="Wingdings" w:hAnsi="Wingdings" w:hint="default"/>
      </w:rPr>
    </w:lvl>
    <w:lvl w:ilvl="6" w:tplc="10090001" w:tentative="1">
      <w:start w:val="1"/>
      <w:numFmt w:val="bullet"/>
      <w:lvlText w:val=""/>
      <w:lvlJc w:val="left"/>
      <w:pPr>
        <w:ind w:left="6458" w:hanging="360"/>
      </w:pPr>
      <w:rPr>
        <w:rFonts w:ascii="Symbol" w:hAnsi="Symbol" w:hint="default"/>
      </w:rPr>
    </w:lvl>
    <w:lvl w:ilvl="7" w:tplc="10090003" w:tentative="1">
      <w:start w:val="1"/>
      <w:numFmt w:val="bullet"/>
      <w:lvlText w:val="o"/>
      <w:lvlJc w:val="left"/>
      <w:pPr>
        <w:ind w:left="7178" w:hanging="360"/>
      </w:pPr>
      <w:rPr>
        <w:rFonts w:ascii="Courier New" w:hAnsi="Courier New" w:cs="Courier New" w:hint="default"/>
      </w:rPr>
    </w:lvl>
    <w:lvl w:ilvl="8" w:tplc="10090005" w:tentative="1">
      <w:start w:val="1"/>
      <w:numFmt w:val="bullet"/>
      <w:lvlText w:val=""/>
      <w:lvlJc w:val="left"/>
      <w:pPr>
        <w:ind w:left="7898" w:hanging="360"/>
      </w:pPr>
      <w:rPr>
        <w:rFonts w:ascii="Wingdings" w:hAnsi="Wingdings" w:hint="default"/>
      </w:rPr>
    </w:lvl>
  </w:abstractNum>
  <w:abstractNum w:abstractNumId="38" w15:restartNumberingAfterBreak="0">
    <w:nsid w:val="7D771E7A"/>
    <w:multiLevelType w:val="multilevel"/>
    <w:tmpl w:val="F864A1F8"/>
    <w:lvl w:ilvl="0">
      <w:start w:val="1"/>
      <w:numFmt w:val="decimal"/>
      <w:pStyle w:val="Heading1"/>
      <w:lvlText w:val="Chapitre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8"/>
  </w:num>
  <w:num w:numId="2">
    <w:abstractNumId w:val="3"/>
  </w:num>
  <w:num w:numId="3">
    <w:abstractNumId w:val="29"/>
  </w:num>
  <w:num w:numId="4">
    <w:abstractNumId w:val="23"/>
  </w:num>
  <w:num w:numId="5">
    <w:abstractNumId w:val="8"/>
  </w:num>
  <w:num w:numId="6">
    <w:abstractNumId w:val="21"/>
  </w:num>
  <w:num w:numId="7">
    <w:abstractNumId w:val="16"/>
  </w:num>
  <w:num w:numId="8">
    <w:abstractNumId w:val="27"/>
  </w:num>
  <w:num w:numId="9">
    <w:abstractNumId w:val="18"/>
  </w:num>
  <w:num w:numId="10">
    <w:abstractNumId w:val="20"/>
  </w:num>
  <w:num w:numId="11">
    <w:abstractNumId w:val="26"/>
  </w:num>
  <w:num w:numId="12">
    <w:abstractNumId w:val="5"/>
  </w:num>
  <w:num w:numId="13">
    <w:abstractNumId w:val="22"/>
  </w:num>
  <w:num w:numId="14">
    <w:abstractNumId w:val="19"/>
  </w:num>
  <w:num w:numId="15">
    <w:abstractNumId w:val="34"/>
  </w:num>
  <w:num w:numId="16">
    <w:abstractNumId w:val="6"/>
  </w:num>
  <w:num w:numId="17">
    <w:abstractNumId w:val="28"/>
  </w:num>
  <w:num w:numId="18">
    <w:abstractNumId w:val="1"/>
  </w:num>
  <w:num w:numId="19">
    <w:abstractNumId w:val="25"/>
  </w:num>
  <w:num w:numId="20">
    <w:abstractNumId w:val="14"/>
  </w:num>
  <w:num w:numId="21">
    <w:abstractNumId w:val="7"/>
  </w:num>
  <w:num w:numId="22">
    <w:abstractNumId w:val="31"/>
  </w:num>
  <w:num w:numId="23">
    <w:abstractNumId w:val="32"/>
  </w:num>
  <w:num w:numId="24">
    <w:abstractNumId w:val="4"/>
  </w:num>
  <w:num w:numId="25">
    <w:abstractNumId w:val="17"/>
  </w:num>
  <w:num w:numId="26">
    <w:abstractNumId w:val="24"/>
  </w:num>
  <w:num w:numId="27">
    <w:abstractNumId w:val="12"/>
  </w:num>
  <w:num w:numId="28">
    <w:abstractNumId w:val="0"/>
  </w:num>
  <w:num w:numId="29">
    <w:abstractNumId w:val="35"/>
  </w:num>
  <w:num w:numId="30">
    <w:abstractNumId w:val="33"/>
  </w:num>
  <w:num w:numId="31">
    <w:abstractNumId w:val="13"/>
  </w:num>
  <w:num w:numId="32">
    <w:abstractNumId w:val="2"/>
  </w:num>
  <w:num w:numId="33">
    <w:abstractNumId w:val="30"/>
  </w:num>
  <w:num w:numId="34">
    <w:abstractNumId w:val="10"/>
  </w:num>
  <w:num w:numId="35">
    <w:abstractNumId w:val="37"/>
  </w:num>
  <w:num w:numId="36">
    <w:abstractNumId w:val="11"/>
  </w:num>
  <w:num w:numId="37">
    <w:abstractNumId w:val="36"/>
  </w:num>
  <w:num w:numId="38">
    <w:abstractNumId w:val="9"/>
  </w:num>
  <w:num w:numId="39">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cryptProviderType="rsaAES" w:cryptAlgorithmClass="hash" w:cryptAlgorithmType="typeAny" w:cryptAlgorithmSid="14" w:cryptSpinCount="100000" w:hash="qLy+3rIRCLhlIvlqE4rZBoWVrzjFngVd65Mzr4i38vtUtvIbn+5GHYk+VPrcPq1peuXemot8EXr3dinaYWq7Rg==" w:salt="+JDxNBYnvLzTVQK4cpwEMg=="/>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126"/>
    <w:rsid w:val="00001BD4"/>
    <w:rsid w:val="00002669"/>
    <w:rsid w:val="00002F7F"/>
    <w:rsid w:val="00006B55"/>
    <w:rsid w:val="000113D8"/>
    <w:rsid w:val="00011AEF"/>
    <w:rsid w:val="00013B3E"/>
    <w:rsid w:val="00020C45"/>
    <w:rsid w:val="00027541"/>
    <w:rsid w:val="000364E4"/>
    <w:rsid w:val="00036B74"/>
    <w:rsid w:val="000377EB"/>
    <w:rsid w:val="00040CEE"/>
    <w:rsid w:val="00042798"/>
    <w:rsid w:val="00042D56"/>
    <w:rsid w:val="00043961"/>
    <w:rsid w:val="00045BD4"/>
    <w:rsid w:val="00047016"/>
    <w:rsid w:val="0006721F"/>
    <w:rsid w:val="000713F5"/>
    <w:rsid w:val="00071DFC"/>
    <w:rsid w:val="0007200F"/>
    <w:rsid w:val="00072EEE"/>
    <w:rsid w:val="000801CA"/>
    <w:rsid w:val="00081CDC"/>
    <w:rsid w:val="00083708"/>
    <w:rsid w:val="000841CF"/>
    <w:rsid w:val="0009355E"/>
    <w:rsid w:val="000A035B"/>
    <w:rsid w:val="000A18CD"/>
    <w:rsid w:val="000A6364"/>
    <w:rsid w:val="000A6DE4"/>
    <w:rsid w:val="000B1064"/>
    <w:rsid w:val="000C2C09"/>
    <w:rsid w:val="000C7BD2"/>
    <w:rsid w:val="000D036E"/>
    <w:rsid w:val="000D3389"/>
    <w:rsid w:val="000D52BD"/>
    <w:rsid w:val="000D5F0F"/>
    <w:rsid w:val="000E060D"/>
    <w:rsid w:val="000E129D"/>
    <w:rsid w:val="000E57C7"/>
    <w:rsid w:val="000F5770"/>
    <w:rsid w:val="00100ADC"/>
    <w:rsid w:val="0010284D"/>
    <w:rsid w:val="00105BF3"/>
    <w:rsid w:val="0010730D"/>
    <w:rsid w:val="00107FA9"/>
    <w:rsid w:val="001147FE"/>
    <w:rsid w:val="00114857"/>
    <w:rsid w:val="00130623"/>
    <w:rsid w:val="00131289"/>
    <w:rsid w:val="00132118"/>
    <w:rsid w:val="00141117"/>
    <w:rsid w:val="001449F8"/>
    <w:rsid w:val="00151A40"/>
    <w:rsid w:val="00153A5D"/>
    <w:rsid w:val="001552CD"/>
    <w:rsid w:val="00160A9A"/>
    <w:rsid w:val="00161C0A"/>
    <w:rsid w:val="001634E9"/>
    <w:rsid w:val="00163B28"/>
    <w:rsid w:val="00165F26"/>
    <w:rsid w:val="00170E75"/>
    <w:rsid w:val="00176DA3"/>
    <w:rsid w:val="001868E1"/>
    <w:rsid w:val="00196883"/>
    <w:rsid w:val="00196D51"/>
    <w:rsid w:val="0019749A"/>
    <w:rsid w:val="001A14E7"/>
    <w:rsid w:val="001A1502"/>
    <w:rsid w:val="001A593A"/>
    <w:rsid w:val="001A6F4B"/>
    <w:rsid w:val="001C0E48"/>
    <w:rsid w:val="001D219F"/>
    <w:rsid w:val="001E4243"/>
    <w:rsid w:val="001E7EA2"/>
    <w:rsid w:val="001F0553"/>
    <w:rsid w:val="001F42CA"/>
    <w:rsid w:val="00200A29"/>
    <w:rsid w:val="00204011"/>
    <w:rsid w:val="00205BE5"/>
    <w:rsid w:val="0021333A"/>
    <w:rsid w:val="002147A4"/>
    <w:rsid w:val="00214EBD"/>
    <w:rsid w:val="002206B2"/>
    <w:rsid w:val="00221582"/>
    <w:rsid w:val="0022357B"/>
    <w:rsid w:val="00223838"/>
    <w:rsid w:val="00223D53"/>
    <w:rsid w:val="00225E02"/>
    <w:rsid w:val="00235FA6"/>
    <w:rsid w:val="00237CBA"/>
    <w:rsid w:val="002455C0"/>
    <w:rsid w:val="00245FCB"/>
    <w:rsid w:val="00251AC7"/>
    <w:rsid w:val="002533EC"/>
    <w:rsid w:val="00254641"/>
    <w:rsid w:val="002572F9"/>
    <w:rsid w:val="002611A4"/>
    <w:rsid w:val="00270189"/>
    <w:rsid w:val="002728FD"/>
    <w:rsid w:val="00272C93"/>
    <w:rsid w:val="00274CE6"/>
    <w:rsid w:val="002817D6"/>
    <w:rsid w:val="00283585"/>
    <w:rsid w:val="00291506"/>
    <w:rsid w:val="00291D97"/>
    <w:rsid w:val="00292EE7"/>
    <w:rsid w:val="00295060"/>
    <w:rsid w:val="00297119"/>
    <w:rsid w:val="002A0642"/>
    <w:rsid w:val="002A0681"/>
    <w:rsid w:val="002A1B87"/>
    <w:rsid w:val="002A3328"/>
    <w:rsid w:val="002A5347"/>
    <w:rsid w:val="002A741E"/>
    <w:rsid w:val="002B6C2E"/>
    <w:rsid w:val="002C5DE5"/>
    <w:rsid w:val="002C6A50"/>
    <w:rsid w:val="002D0949"/>
    <w:rsid w:val="002D1E99"/>
    <w:rsid w:val="002D1F7B"/>
    <w:rsid w:val="002D2415"/>
    <w:rsid w:val="002E2066"/>
    <w:rsid w:val="002E6B1F"/>
    <w:rsid w:val="002F2E3E"/>
    <w:rsid w:val="002F3843"/>
    <w:rsid w:val="002F493E"/>
    <w:rsid w:val="002F6718"/>
    <w:rsid w:val="003041EC"/>
    <w:rsid w:val="00306E37"/>
    <w:rsid w:val="00307228"/>
    <w:rsid w:val="00315130"/>
    <w:rsid w:val="0032142D"/>
    <w:rsid w:val="00323D11"/>
    <w:rsid w:val="00324B62"/>
    <w:rsid w:val="003328CC"/>
    <w:rsid w:val="003424BD"/>
    <w:rsid w:val="00347958"/>
    <w:rsid w:val="00353E8D"/>
    <w:rsid w:val="00366427"/>
    <w:rsid w:val="003671F9"/>
    <w:rsid w:val="003769BA"/>
    <w:rsid w:val="00376B87"/>
    <w:rsid w:val="00376DB8"/>
    <w:rsid w:val="00377422"/>
    <w:rsid w:val="00387568"/>
    <w:rsid w:val="00393299"/>
    <w:rsid w:val="003970C1"/>
    <w:rsid w:val="003975E1"/>
    <w:rsid w:val="003977C7"/>
    <w:rsid w:val="003A0587"/>
    <w:rsid w:val="003A30B8"/>
    <w:rsid w:val="003B52A2"/>
    <w:rsid w:val="003B5B88"/>
    <w:rsid w:val="003B603F"/>
    <w:rsid w:val="003C4F3C"/>
    <w:rsid w:val="003D20B9"/>
    <w:rsid w:val="003D33AC"/>
    <w:rsid w:val="003D4398"/>
    <w:rsid w:val="003D45B4"/>
    <w:rsid w:val="003E0910"/>
    <w:rsid w:val="003E35C4"/>
    <w:rsid w:val="003E52A1"/>
    <w:rsid w:val="003F0DB0"/>
    <w:rsid w:val="003F4567"/>
    <w:rsid w:val="00400523"/>
    <w:rsid w:val="004107AB"/>
    <w:rsid w:val="00413241"/>
    <w:rsid w:val="0041482B"/>
    <w:rsid w:val="00420F97"/>
    <w:rsid w:val="004232C6"/>
    <w:rsid w:val="0043061F"/>
    <w:rsid w:val="00437211"/>
    <w:rsid w:val="004421FD"/>
    <w:rsid w:val="00446B4D"/>
    <w:rsid w:val="00446E1C"/>
    <w:rsid w:val="004478FC"/>
    <w:rsid w:val="00454801"/>
    <w:rsid w:val="004625E2"/>
    <w:rsid w:val="004657B2"/>
    <w:rsid w:val="00470C55"/>
    <w:rsid w:val="0047110E"/>
    <w:rsid w:val="00473CD9"/>
    <w:rsid w:val="0048124B"/>
    <w:rsid w:val="00490709"/>
    <w:rsid w:val="00491258"/>
    <w:rsid w:val="004927EE"/>
    <w:rsid w:val="00494C58"/>
    <w:rsid w:val="00495516"/>
    <w:rsid w:val="00496838"/>
    <w:rsid w:val="004A2FF7"/>
    <w:rsid w:val="004A476A"/>
    <w:rsid w:val="004A6278"/>
    <w:rsid w:val="004A69BE"/>
    <w:rsid w:val="004A6FF3"/>
    <w:rsid w:val="004C2A8F"/>
    <w:rsid w:val="004C5BC4"/>
    <w:rsid w:val="004D178C"/>
    <w:rsid w:val="004E0421"/>
    <w:rsid w:val="004E23A9"/>
    <w:rsid w:val="004E26DB"/>
    <w:rsid w:val="004E4B9E"/>
    <w:rsid w:val="00504116"/>
    <w:rsid w:val="005044B7"/>
    <w:rsid w:val="00506033"/>
    <w:rsid w:val="00512BF8"/>
    <w:rsid w:val="005267D8"/>
    <w:rsid w:val="00526894"/>
    <w:rsid w:val="00526A07"/>
    <w:rsid w:val="00526F0A"/>
    <w:rsid w:val="005329CE"/>
    <w:rsid w:val="00533034"/>
    <w:rsid w:val="00533EC6"/>
    <w:rsid w:val="0053684C"/>
    <w:rsid w:val="00544524"/>
    <w:rsid w:val="00550E36"/>
    <w:rsid w:val="0055524E"/>
    <w:rsid w:val="00561635"/>
    <w:rsid w:val="005636CF"/>
    <w:rsid w:val="0056795D"/>
    <w:rsid w:val="005707BC"/>
    <w:rsid w:val="00570A1C"/>
    <w:rsid w:val="0057401C"/>
    <w:rsid w:val="00581509"/>
    <w:rsid w:val="005868B7"/>
    <w:rsid w:val="0059107C"/>
    <w:rsid w:val="005969E6"/>
    <w:rsid w:val="005A2EB7"/>
    <w:rsid w:val="005B03DB"/>
    <w:rsid w:val="005B5713"/>
    <w:rsid w:val="005C24EE"/>
    <w:rsid w:val="005C4707"/>
    <w:rsid w:val="005C6591"/>
    <w:rsid w:val="005D0E53"/>
    <w:rsid w:val="005D4A54"/>
    <w:rsid w:val="005E021E"/>
    <w:rsid w:val="005F03D1"/>
    <w:rsid w:val="005F1B62"/>
    <w:rsid w:val="00600008"/>
    <w:rsid w:val="006007B0"/>
    <w:rsid w:val="00600ED3"/>
    <w:rsid w:val="00606891"/>
    <w:rsid w:val="006068D1"/>
    <w:rsid w:val="006073A0"/>
    <w:rsid w:val="006108AA"/>
    <w:rsid w:val="00610E66"/>
    <w:rsid w:val="00611E66"/>
    <w:rsid w:val="00613E40"/>
    <w:rsid w:val="0062504A"/>
    <w:rsid w:val="0062763D"/>
    <w:rsid w:val="00627F93"/>
    <w:rsid w:val="00633DAD"/>
    <w:rsid w:val="006371BE"/>
    <w:rsid w:val="00637E49"/>
    <w:rsid w:val="00643B25"/>
    <w:rsid w:val="00654A61"/>
    <w:rsid w:val="00656130"/>
    <w:rsid w:val="0065620D"/>
    <w:rsid w:val="006573CE"/>
    <w:rsid w:val="00665F54"/>
    <w:rsid w:val="00667D64"/>
    <w:rsid w:val="0067066D"/>
    <w:rsid w:val="00670B07"/>
    <w:rsid w:val="0067387C"/>
    <w:rsid w:val="00682A48"/>
    <w:rsid w:val="00684356"/>
    <w:rsid w:val="00686676"/>
    <w:rsid w:val="00691E1F"/>
    <w:rsid w:val="006A0C34"/>
    <w:rsid w:val="006B1B8E"/>
    <w:rsid w:val="006B41D1"/>
    <w:rsid w:val="006B71A4"/>
    <w:rsid w:val="006C0862"/>
    <w:rsid w:val="006C30DA"/>
    <w:rsid w:val="006C41F5"/>
    <w:rsid w:val="006C42FA"/>
    <w:rsid w:val="006D2B9C"/>
    <w:rsid w:val="006D32CC"/>
    <w:rsid w:val="006D4536"/>
    <w:rsid w:val="006D4B24"/>
    <w:rsid w:val="006E4C41"/>
    <w:rsid w:val="006F10E9"/>
    <w:rsid w:val="006F242E"/>
    <w:rsid w:val="007058B2"/>
    <w:rsid w:val="007116E3"/>
    <w:rsid w:val="007164FB"/>
    <w:rsid w:val="00720D9E"/>
    <w:rsid w:val="0072494B"/>
    <w:rsid w:val="007262D1"/>
    <w:rsid w:val="00730C98"/>
    <w:rsid w:val="00731633"/>
    <w:rsid w:val="0073165C"/>
    <w:rsid w:val="007325CB"/>
    <w:rsid w:val="007329AB"/>
    <w:rsid w:val="00733EAE"/>
    <w:rsid w:val="007357B1"/>
    <w:rsid w:val="007461CA"/>
    <w:rsid w:val="0075029F"/>
    <w:rsid w:val="00753A7D"/>
    <w:rsid w:val="007727E2"/>
    <w:rsid w:val="00781249"/>
    <w:rsid w:val="00787507"/>
    <w:rsid w:val="00793397"/>
    <w:rsid w:val="00795D62"/>
    <w:rsid w:val="00795E31"/>
    <w:rsid w:val="007964A2"/>
    <w:rsid w:val="00796EC8"/>
    <w:rsid w:val="007A7348"/>
    <w:rsid w:val="007A7784"/>
    <w:rsid w:val="007A7CB8"/>
    <w:rsid w:val="007B0291"/>
    <w:rsid w:val="007C33A3"/>
    <w:rsid w:val="007D2A69"/>
    <w:rsid w:val="007D47E1"/>
    <w:rsid w:val="007D768F"/>
    <w:rsid w:val="007F1307"/>
    <w:rsid w:val="007F6321"/>
    <w:rsid w:val="00807F32"/>
    <w:rsid w:val="00813D24"/>
    <w:rsid w:val="0081680B"/>
    <w:rsid w:val="00822257"/>
    <w:rsid w:val="00827328"/>
    <w:rsid w:val="00827944"/>
    <w:rsid w:val="00827CDD"/>
    <w:rsid w:val="00834B4B"/>
    <w:rsid w:val="00836996"/>
    <w:rsid w:val="00837E06"/>
    <w:rsid w:val="008430FE"/>
    <w:rsid w:val="008441AB"/>
    <w:rsid w:val="0085148D"/>
    <w:rsid w:val="00855A45"/>
    <w:rsid w:val="008647AF"/>
    <w:rsid w:val="008747A5"/>
    <w:rsid w:val="008772BD"/>
    <w:rsid w:val="008777FC"/>
    <w:rsid w:val="00880040"/>
    <w:rsid w:val="00886BB8"/>
    <w:rsid w:val="00887A23"/>
    <w:rsid w:val="00892576"/>
    <w:rsid w:val="008A3FA4"/>
    <w:rsid w:val="008A4E72"/>
    <w:rsid w:val="008A59DC"/>
    <w:rsid w:val="008A6C69"/>
    <w:rsid w:val="008A7B36"/>
    <w:rsid w:val="008B1487"/>
    <w:rsid w:val="008B39E5"/>
    <w:rsid w:val="008C0C1E"/>
    <w:rsid w:val="008C797D"/>
    <w:rsid w:val="008D03AE"/>
    <w:rsid w:val="008D2018"/>
    <w:rsid w:val="008D5A42"/>
    <w:rsid w:val="008D5D9E"/>
    <w:rsid w:val="008E020C"/>
    <w:rsid w:val="008E1F21"/>
    <w:rsid w:val="008F2A41"/>
    <w:rsid w:val="008F2FE4"/>
    <w:rsid w:val="0091178A"/>
    <w:rsid w:val="00914A85"/>
    <w:rsid w:val="0091582E"/>
    <w:rsid w:val="00920758"/>
    <w:rsid w:val="00922A25"/>
    <w:rsid w:val="00922FE4"/>
    <w:rsid w:val="009307E5"/>
    <w:rsid w:val="009331B1"/>
    <w:rsid w:val="00953770"/>
    <w:rsid w:val="00953C41"/>
    <w:rsid w:val="0095743D"/>
    <w:rsid w:val="009625C7"/>
    <w:rsid w:val="00962864"/>
    <w:rsid w:val="009640D7"/>
    <w:rsid w:val="00964104"/>
    <w:rsid w:val="00964831"/>
    <w:rsid w:val="009713A6"/>
    <w:rsid w:val="00981081"/>
    <w:rsid w:val="00986B69"/>
    <w:rsid w:val="00991155"/>
    <w:rsid w:val="009A641E"/>
    <w:rsid w:val="009B060F"/>
    <w:rsid w:val="009B0698"/>
    <w:rsid w:val="009B29F7"/>
    <w:rsid w:val="009B2E99"/>
    <w:rsid w:val="009B30CE"/>
    <w:rsid w:val="009B4CBB"/>
    <w:rsid w:val="009B6D49"/>
    <w:rsid w:val="009B7E35"/>
    <w:rsid w:val="009C0D39"/>
    <w:rsid w:val="009C73F2"/>
    <w:rsid w:val="009C75AE"/>
    <w:rsid w:val="009D244D"/>
    <w:rsid w:val="009D256B"/>
    <w:rsid w:val="009D2D9F"/>
    <w:rsid w:val="009D3589"/>
    <w:rsid w:val="009D55E9"/>
    <w:rsid w:val="009D5EF9"/>
    <w:rsid w:val="009D73D9"/>
    <w:rsid w:val="009E1252"/>
    <w:rsid w:val="009E227B"/>
    <w:rsid w:val="009E70FC"/>
    <w:rsid w:val="009E7519"/>
    <w:rsid w:val="009F7852"/>
    <w:rsid w:val="009F7FAF"/>
    <w:rsid w:val="00A0482E"/>
    <w:rsid w:val="00A12281"/>
    <w:rsid w:val="00A14CD2"/>
    <w:rsid w:val="00A179F1"/>
    <w:rsid w:val="00A17AFD"/>
    <w:rsid w:val="00A2298C"/>
    <w:rsid w:val="00A22C93"/>
    <w:rsid w:val="00A31E52"/>
    <w:rsid w:val="00A339F0"/>
    <w:rsid w:val="00A375C4"/>
    <w:rsid w:val="00A4491D"/>
    <w:rsid w:val="00A46A95"/>
    <w:rsid w:val="00A532EA"/>
    <w:rsid w:val="00A55385"/>
    <w:rsid w:val="00A5724A"/>
    <w:rsid w:val="00A57BDA"/>
    <w:rsid w:val="00A61F66"/>
    <w:rsid w:val="00A62DAD"/>
    <w:rsid w:val="00A64929"/>
    <w:rsid w:val="00A64C80"/>
    <w:rsid w:val="00A71BF8"/>
    <w:rsid w:val="00A8045E"/>
    <w:rsid w:val="00A8342F"/>
    <w:rsid w:val="00A85315"/>
    <w:rsid w:val="00A8705D"/>
    <w:rsid w:val="00A96F83"/>
    <w:rsid w:val="00AA137F"/>
    <w:rsid w:val="00AA13B5"/>
    <w:rsid w:val="00AA426C"/>
    <w:rsid w:val="00AB6D10"/>
    <w:rsid w:val="00AC36E7"/>
    <w:rsid w:val="00AC52BD"/>
    <w:rsid w:val="00AD01EC"/>
    <w:rsid w:val="00AD5B1E"/>
    <w:rsid w:val="00AE4933"/>
    <w:rsid w:val="00AE5DD0"/>
    <w:rsid w:val="00AE77EE"/>
    <w:rsid w:val="00AE7DEB"/>
    <w:rsid w:val="00AF467F"/>
    <w:rsid w:val="00B00FF4"/>
    <w:rsid w:val="00B010CF"/>
    <w:rsid w:val="00B04C8A"/>
    <w:rsid w:val="00B05563"/>
    <w:rsid w:val="00B20195"/>
    <w:rsid w:val="00B24727"/>
    <w:rsid w:val="00B27549"/>
    <w:rsid w:val="00B27C00"/>
    <w:rsid w:val="00B308F9"/>
    <w:rsid w:val="00B31D41"/>
    <w:rsid w:val="00B33059"/>
    <w:rsid w:val="00B4490D"/>
    <w:rsid w:val="00B45CEF"/>
    <w:rsid w:val="00B4774E"/>
    <w:rsid w:val="00B51531"/>
    <w:rsid w:val="00B5208A"/>
    <w:rsid w:val="00B5635D"/>
    <w:rsid w:val="00B641B1"/>
    <w:rsid w:val="00B70BD2"/>
    <w:rsid w:val="00B7146D"/>
    <w:rsid w:val="00B7398F"/>
    <w:rsid w:val="00B779A2"/>
    <w:rsid w:val="00B80724"/>
    <w:rsid w:val="00B845D1"/>
    <w:rsid w:val="00B922FE"/>
    <w:rsid w:val="00B93530"/>
    <w:rsid w:val="00B9596A"/>
    <w:rsid w:val="00B95ABE"/>
    <w:rsid w:val="00BA513D"/>
    <w:rsid w:val="00BB5996"/>
    <w:rsid w:val="00BC3C73"/>
    <w:rsid w:val="00BC50F0"/>
    <w:rsid w:val="00BD04F8"/>
    <w:rsid w:val="00BD5496"/>
    <w:rsid w:val="00BE0BD2"/>
    <w:rsid w:val="00BE2479"/>
    <w:rsid w:val="00BE2E05"/>
    <w:rsid w:val="00BE5B70"/>
    <w:rsid w:val="00BE6E49"/>
    <w:rsid w:val="00BF0B36"/>
    <w:rsid w:val="00BF33DE"/>
    <w:rsid w:val="00BF35EB"/>
    <w:rsid w:val="00BF5462"/>
    <w:rsid w:val="00BF603F"/>
    <w:rsid w:val="00C13BEC"/>
    <w:rsid w:val="00C14126"/>
    <w:rsid w:val="00C14E49"/>
    <w:rsid w:val="00C1668E"/>
    <w:rsid w:val="00C238AC"/>
    <w:rsid w:val="00C24A05"/>
    <w:rsid w:val="00C25ABB"/>
    <w:rsid w:val="00C25BE5"/>
    <w:rsid w:val="00C27928"/>
    <w:rsid w:val="00C33FD2"/>
    <w:rsid w:val="00C343A5"/>
    <w:rsid w:val="00C412AF"/>
    <w:rsid w:val="00C41A17"/>
    <w:rsid w:val="00C41E5E"/>
    <w:rsid w:val="00C42A1B"/>
    <w:rsid w:val="00C52DAC"/>
    <w:rsid w:val="00C64741"/>
    <w:rsid w:val="00C65897"/>
    <w:rsid w:val="00C756AA"/>
    <w:rsid w:val="00C8021B"/>
    <w:rsid w:val="00C80460"/>
    <w:rsid w:val="00C814AC"/>
    <w:rsid w:val="00C82386"/>
    <w:rsid w:val="00C82680"/>
    <w:rsid w:val="00C85E00"/>
    <w:rsid w:val="00C92E71"/>
    <w:rsid w:val="00C939B4"/>
    <w:rsid w:val="00CA148C"/>
    <w:rsid w:val="00CA14E9"/>
    <w:rsid w:val="00CA541C"/>
    <w:rsid w:val="00CB24C0"/>
    <w:rsid w:val="00CB363C"/>
    <w:rsid w:val="00CC7058"/>
    <w:rsid w:val="00CD111C"/>
    <w:rsid w:val="00CD2B47"/>
    <w:rsid w:val="00CD4B21"/>
    <w:rsid w:val="00CE4E37"/>
    <w:rsid w:val="00CF0927"/>
    <w:rsid w:val="00CF1BF9"/>
    <w:rsid w:val="00CF47BD"/>
    <w:rsid w:val="00CF5202"/>
    <w:rsid w:val="00D06089"/>
    <w:rsid w:val="00D20003"/>
    <w:rsid w:val="00D21E3C"/>
    <w:rsid w:val="00D22F67"/>
    <w:rsid w:val="00D23469"/>
    <w:rsid w:val="00D30B2D"/>
    <w:rsid w:val="00D32C59"/>
    <w:rsid w:val="00D34262"/>
    <w:rsid w:val="00D3573F"/>
    <w:rsid w:val="00D406E3"/>
    <w:rsid w:val="00D412BF"/>
    <w:rsid w:val="00D434CD"/>
    <w:rsid w:val="00D542F6"/>
    <w:rsid w:val="00D54921"/>
    <w:rsid w:val="00D560AA"/>
    <w:rsid w:val="00D60507"/>
    <w:rsid w:val="00D60ED5"/>
    <w:rsid w:val="00D61EA7"/>
    <w:rsid w:val="00D707F3"/>
    <w:rsid w:val="00D713F9"/>
    <w:rsid w:val="00D81F94"/>
    <w:rsid w:val="00D84D39"/>
    <w:rsid w:val="00D86A15"/>
    <w:rsid w:val="00D921B5"/>
    <w:rsid w:val="00D937C8"/>
    <w:rsid w:val="00D94F01"/>
    <w:rsid w:val="00D96547"/>
    <w:rsid w:val="00DA273B"/>
    <w:rsid w:val="00DA5C7E"/>
    <w:rsid w:val="00DB02BE"/>
    <w:rsid w:val="00DB2DFE"/>
    <w:rsid w:val="00DC3BAD"/>
    <w:rsid w:val="00DC47EC"/>
    <w:rsid w:val="00DD3BC3"/>
    <w:rsid w:val="00DD515F"/>
    <w:rsid w:val="00DD7507"/>
    <w:rsid w:val="00DE1202"/>
    <w:rsid w:val="00DE4BFA"/>
    <w:rsid w:val="00DF27FB"/>
    <w:rsid w:val="00DF649B"/>
    <w:rsid w:val="00DF6D59"/>
    <w:rsid w:val="00E001B3"/>
    <w:rsid w:val="00E04E8A"/>
    <w:rsid w:val="00E05F5B"/>
    <w:rsid w:val="00E069DE"/>
    <w:rsid w:val="00E077D5"/>
    <w:rsid w:val="00E1081D"/>
    <w:rsid w:val="00E204A1"/>
    <w:rsid w:val="00E223FA"/>
    <w:rsid w:val="00E240B4"/>
    <w:rsid w:val="00E26B63"/>
    <w:rsid w:val="00E33A61"/>
    <w:rsid w:val="00E414DC"/>
    <w:rsid w:val="00E529A7"/>
    <w:rsid w:val="00E55A20"/>
    <w:rsid w:val="00E64354"/>
    <w:rsid w:val="00E649BF"/>
    <w:rsid w:val="00E6544B"/>
    <w:rsid w:val="00E67057"/>
    <w:rsid w:val="00E703E3"/>
    <w:rsid w:val="00E84BC9"/>
    <w:rsid w:val="00E878DA"/>
    <w:rsid w:val="00E92A3D"/>
    <w:rsid w:val="00E93E72"/>
    <w:rsid w:val="00E9470C"/>
    <w:rsid w:val="00E975A9"/>
    <w:rsid w:val="00E97956"/>
    <w:rsid w:val="00EA1CAA"/>
    <w:rsid w:val="00EA3889"/>
    <w:rsid w:val="00EA6460"/>
    <w:rsid w:val="00EB2C1D"/>
    <w:rsid w:val="00EB5383"/>
    <w:rsid w:val="00EB6846"/>
    <w:rsid w:val="00EB6F5D"/>
    <w:rsid w:val="00EC166D"/>
    <w:rsid w:val="00EC5185"/>
    <w:rsid w:val="00EC7003"/>
    <w:rsid w:val="00ED048E"/>
    <w:rsid w:val="00ED5859"/>
    <w:rsid w:val="00ED590E"/>
    <w:rsid w:val="00ED66E7"/>
    <w:rsid w:val="00EE0A2B"/>
    <w:rsid w:val="00EE6362"/>
    <w:rsid w:val="00EF1E86"/>
    <w:rsid w:val="00EF3320"/>
    <w:rsid w:val="00EF3912"/>
    <w:rsid w:val="00EF3B1D"/>
    <w:rsid w:val="00F05FD3"/>
    <w:rsid w:val="00F06A7F"/>
    <w:rsid w:val="00F07188"/>
    <w:rsid w:val="00F10AF6"/>
    <w:rsid w:val="00F125C0"/>
    <w:rsid w:val="00F21D8A"/>
    <w:rsid w:val="00F24294"/>
    <w:rsid w:val="00F26219"/>
    <w:rsid w:val="00F37531"/>
    <w:rsid w:val="00F37827"/>
    <w:rsid w:val="00F425EE"/>
    <w:rsid w:val="00F4450E"/>
    <w:rsid w:val="00F4528E"/>
    <w:rsid w:val="00F45AEA"/>
    <w:rsid w:val="00F4660B"/>
    <w:rsid w:val="00F51AE4"/>
    <w:rsid w:val="00F51BD5"/>
    <w:rsid w:val="00F67EDF"/>
    <w:rsid w:val="00F765E7"/>
    <w:rsid w:val="00F817F5"/>
    <w:rsid w:val="00F90B2A"/>
    <w:rsid w:val="00F90CBE"/>
    <w:rsid w:val="00F90DC5"/>
    <w:rsid w:val="00F94161"/>
    <w:rsid w:val="00F94386"/>
    <w:rsid w:val="00F957BA"/>
    <w:rsid w:val="00FA05DE"/>
    <w:rsid w:val="00FA0CE0"/>
    <w:rsid w:val="00FA7B5E"/>
    <w:rsid w:val="00FB1252"/>
    <w:rsid w:val="00FB4D9D"/>
    <w:rsid w:val="00FB51E6"/>
    <w:rsid w:val="00FC00FB"/>
    <w:rsid w:val="00FC2BC8"/>
    <w:rsid w:val="00FC31BC"/>
    <w:rsid w:val="00FE15E0"/>
    <w:rsid w:val="00FE59DA"/>
    <w:rsid w:val="00FE61BB"/>
    <w:rsid w:val="00FE7598"/>
    <w:rsid w:val="00FF07C7"/>
    <w:rsid w:val="00FF0939"/>
    <w:rsid w:val="00FF43C1"/>
    <w:rsid w:val="00FF45BE"/>
    <w:rsid w:val="07123576"/>
    <w:rsid w:val="13131265"/>
    <w:rsid w:val="1A0CA66E"/>
    <w:rsid w:val="1BF9830A"/>
    <w:rsid w:val="280E12F8"/>
    <w:rsid w:val="294AB2BE"/>
    <w:rsid w:val="33BBD01F"/>
    <w:rsid w:val="35A44DAB"/>
    <w:rsid w:val="381987B0"/>
    <w:rsid w:val="3DAB4B5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123D06"/>
  <w15:docId w15:val="{EDD053B0-F561-4F20-833D-776E9C5E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956"/>
    <w:pPr>
      <w:spacing w:after="0" w:line="240" w:lineRule="auto"/>
      <w:jc w:val="both"/>
    </w:pPr>
    <w:rPr>
      <w:rFonts w:ascii="Arial" w:hAnsi="Arial"/>
      <w:szCs w:val="20"/>
      <w:lang w:val="en-US" w:eastAsia="fr-FR"/>
    </w:rPr>
  </w:style>
  <w:style w:type="paragraph" w:styleId="Heading1">
    <w:name w:val="heading 1"/>
    <w:basedOn w:val="Normal"/>
    <w:next w:val="Normal"/>
    <w:link w:val="Heading1Char"/>
    <w:qFormat/>
    <w:rsid w:val="009B6D49"/>
    <w:pPr>
      <w:keepNext/>
      <w:numPr>
        <w:numId w:val="1"/>
      </w:numPr>
      <w:spacing w:before="240" w:after="60"/>
      <w:jc w:val="center"/>
      <w:outlineLvl w:val="0"/>
    </w:pPr>
    <w:rPr>
      <w:rFonts w:eastAsiaTheme="majorEastAsia" w:cstheme="majorBidi"/>
      <w:b/>
      <w:caps/>
      <w:kern w:val="28"/>
      <w:sz w:val="28"/>
    </w:rPr>
  </w:style>
  <w:style w:type="paragraph" w:styleId="Heading2">
    <w:name w:val="heading 2"/>
    <w:basedOn w:val="Normal"/>
    <w:next w:val="Normal"/>
    <w:link w:val="Heading2Char"/>
    <w:qFormat/>
    <w:rsid w:val="009B6D49"/>
    <w:pPr>
      <w:keepNext/>
      <w:numPr>
        <w:ilvl w:val="1"/>
        <w:numId w:val="1"/>
      </w:numPr>
      <w:spacing w:before="240" w:after="60"/>
      <w:outlineLvl w:val="1"/>
    </w:pPr>
    <w:rPr>
      <w:rFonts w:eastAsia="Times New Roman" w:cs="Times New Roman"/>
      <w:b/>
      <w:sz w:val="32"/>
    </w:rPr>
  </w:style>
  <w:style w:type="paragraph" w:styleId="Heading3">
    <w:name w:val="heading 3"/>
    <w:basedOn w:val="Normal"/>
    <w:next w:val="Normal"/>
    <w:link w:val="Heading3Char"/>
    <w:qFormat/>
    <w:rsid w:val="009B6D49"/>
    <w:pPr>
      <w:keepNext/>
      <w:numPr>
        <w:ilvl w:val="2"/>
        <w:numId w:val="1"/>
      </w:numPr>
      <w:spacing w:before="240" w:after="60"/>
      <w:outlineLvl w:val="2"/>
    </w:pPr>
    <w:rPr>
      <w:rFonts w:eastAsia="Times New Roman" w:cs="Times New Roman"/>
      <w:b/>
      <w:sz w:val="28"/>
    </w:rPr>
  </w:style>
  <w:style w:type="paragraph" w:styleId="Heading4">
    <w:name w:val="heading 4"/>
    <w:basedOn w:val="Normal"/>
    <w:next w:val="Normal"/>
    <w:link w:val="Heading4Char"/>
    <w:qFormat/>
    <w:rsid w:val="009B6D49"/>
    <w:pPr>
      <w:keepNext/>
      <w:numPr>
        <w:ilvl w:val="3"/>
        <w:numId w:val="1"/>
      </w:numPr>
      <w:spacing w:before="240" w:after="60"/>
      <w:outlineLvl w:val="3"/>
    </w:pPr>
    <w:rPr>
      <w:rFonts w:eastAsia="Times New Roman" w:cs="Times New Roman"/>
      <w:b/>
    </w:rPr>
  </w:style>
  <w:style w:type="paragraph" w:styleId="Heading5">
    <w:name w:val="heading 5"/>
    <w:basedOn w:val="Normal"/>
    <w:next w:val="Normal"/>
    <w:link w:val="Heading5Char"/>
    <w:qFormat/>
    <w:rsid w:val="009B6D49"/>
    <w:pPr>
      <w:numPr>
        <w:ilvl w:val="4"/>
        <w:numId w:val="1"/>
      </w:numPr>
      <w:spacing w:before="240" w:after="60"/>
      <w:outlineLvl w:val="4"/>
    </w:pPr>
    <w:rPr>
      <w:rFonts w:eastAsia="Times New Roman" w:cs="Times New Roman"/>
      <w:i/>
    </w:rPr>
  </w:style>
  <w:style w:type="paragraph" w:styleId="Heading6">
    <w:name w:val="heading 6"/>
    <w:basedOn w:val="Normal"/>
    <w:next w:val="Normal"/>
    <w:link w:val="Heading6Char"/>
    <w:qFormat/>
    <w:rsid w:val="009B6D49"/>
    <w:pPr>
      <w:numPr>
        <w:ilvl w:val="5"/>
        <w:numId w:val="1"/>
      </w:numPr>
      <w:spacing w:before="240" w:after="60"/>
      <w:outlineLvl w:val="5"/>
    </w:pPr>
    <w:rPr>
      <w:rFonts w:eastAsia="Times New Roman" w:cs="Times New Roman"/>
    </w:rPr>
  </w:style>
  <w:style w:type="paragraph" w:styleId="Heading7">
    <w:name w:val="heading 7"/>
    <w:basedOn w:val="Normal"/>
    <w:next w:val="Normal"/>
    <w:link w:val="Heading7Char"/>
    <w:qFormat/>
    <w:rsid w:val="009B6D49"/>
    <w:pPr>
      <w:numPr>
        <w:ilvl w:val="6"/>
        <w:numId w:val="1"/>
      </w:numPr>
      <w:spacing w:before="240" w:after="60"/>
      <w:outlineLvl w:val="6"/>
    </w:pPr>
    <w:rPr>
      <w:rFonts w:eastAsia="Times New Roman" w:cs="Times New Roman"/>
      <w:sz w:val="20"/>
    </w:rPr>
  </w:style>
  <w:style w:type="paragraph" w:styleId="Heading8">
    <w:name w:val="heading 8"/>
    <w:basedOn w:val="Normal"/>
    <w:next w:val="Normal"/>
    <w:link w:val="Heading8Char"/>
    <w:qFormat/>
    <w:rsid w:val="009B6D49"/>
    <w:pPr>
      <w:numPr>
        <w:ilvl w:val="7"/>
        <w:numId w:val="1"/>
      </w:numPr>
      <w:spacing w:before="240" w:after="60"/>
      <w:outlineLvl w:val="7"/>
    </w:pPr>
    <w:rPr>
      <w:rFonts w:eastAsia="Times New Roman" w:cs="Times New Roman"/>
      <w:i/>
      <w:sz w:val="20"/>
    </w:rPr>
  </w:style>
  <w:style w:type="paragraph" w:styleId="Heading9">
    <w:name w:val="heading 9"/>
    <w:basedOn w:val="Normal"/>
    <w:next w:val="Normal"/>
    <w:link w:val="Heading9Char"/>
    <w:qFormat/>
    <w:rsid w:val="009B6D49"/>
    <w:pPr>
      <w:numPr>
        <w:ilvl w:val="8"/>
        <w:numId w:val="1"/>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t121">
    <w:name w:val="txt121"/>
    <w:basedOn w:val="DefaultParagraphFont"/>
    <w:qFormat/>
    <w:rsid w:val="009B6D49"/>
  </w:style>
  <w:style w:type="paragraph" w:customStyle="1" w:styleId="Titre1sansno">
    <w:name w:val="Titre 1 sans no."/>
    <w:basedOn w:val="Heading1"/>
    <w:link w:val="Titre1sansnoCar"/>
    <w:qFormat/>
    <w:rsid w:val="009B6D49"/>
    <w:pPr>
      <w:numPr>
        <w:numId w:val="0"/>
      </w:numPr>
      <w:ind w:left="432" w:hanging="432"/>
    </w:pPr>
    <w:rPr>
      <w:rFonts w:eastAsia="Times New Roman" w:cs="Times New Roman"/>
    </w:rPr>
  </w:style>
  <w:style w:type="character" w:customStyle="1" w:styleId="Titre1sansnoCar">
    <w:name w:val="Titre 1 sans no. Car"/>
    <w:basedOn w:val="Heading1Char"/>
    <w:link w:val="Titre1sansno"/>
    <w:rsid w:val="009B6D49"/>
    <w:rPr>
      <w:rFonts w:ascii="Times New Roman" w:eastAsia="Times New Roman" w:hAnsi="Times New Roman" w:cs="Times New Roman"/>
      <w:b/>
      <w:caps/>
      <w:kern w:val="28"/>
      <w:sz w:val="28"/>
      <w:szCs w:val="20"/>
      <w:lang w:eastAsia="fr-FR"/>
    </w:rPr>
  </w:style>
  <w:style w:type="character" w:customStyle="1" w:styleId="Heading1Char">
    <w:name w:val="Heading 1 Char"/>
    <w:basedOn w:val="DefaultParagraphFont"/>
    <w:link w:val="Heading1"/>
    <w:rsid w:val="009B6D49"/>
    <w:rPr>
      <w:rFonts w:ascii="Times New Roman" w:eastAsiaTheme="majorEastAsia" w:hAnsi="Times New Roman" w:cstheme="majorBidi"/>
      <w:b/>
      <w:caps/>
      <w:kern w:val="28"/>
      <w:sz w:val="28"/>
      <w:szCs w:val="20"/>
      <w:lang w:eastAsia="fr-FR"/>
    </w:rPr>
  </w:style>
  <w:style w:type="paragraph" w:customStyle="1" w:styleId="Tableau">
    <w:name w:val="Tableau"/>
    <w:basedOn w:val="Normal"/>
    <w:qFormat/>
    <w:rsid w:val="009B6D49"/>
    <w:rPr>
      <w:rFonts w:eastAsia="Times New Roman" w:cs="Times New Roman"/>
    </w:rPr>
  </w:style>
  <w:style w:type="character" w:customStyle="1" w:styleId="Heading2Char">
    <w:name w:val="Heading 2 Char"/>
    <w:basedOn w:val="DefaultParagraphFont"/>
    <w:link w:val="Heading2"/>
    <w:rsid w:val="009B6D49"/>
    <w:rPr>
      <w:rFonts w:ascii="Times New Roman" w:eastAsia="Times New Roman" w:hAnsi="Times New Roman" w:cs="Times New Roman"/>
      <w:b/>
      <w:sz w:val="32"/>
      <w:szCs w:val="20"/>
      <w:lang w:eastAsia="fr-FR"/>
    </w:rPr>
  </w:style>
  <w:style w:type="character" w:customStyle="1" w:styleId="Heading3Char">
    <w:name w:val="Heading 3 Char"/>
    <w:basedOn w:val="DefaultParagraphFont"/>
    <w:link w:val="Heading3"/>
    <w:rsid w:val="009B6D49"/>
    <w:rPr>
      <w:rFonts w:ascii="Times New Roman" w:eastAsia="Times New Roman" w:hAnsi="Times New Roman" w:cs="Times New Roman"/>
      <w:b/>
      <w:sz w:val="28"/>
      <w:szCs w:val="20"/>
      <w:lang w:eastAsia="fr-FR"/>
    </w:rPr>
  </w:style>
  <w:style w:type="character" w:customStyle="1" w:styleId="Heading4Char">
    <w:name w:val="Heading 4 Char"/>
    <w:basedOn w:val="DefaultParagraphFont"/>
    <w:link w:val="Heading4"/>
    <w:rsid w:val="009B6D49"/>
    <w:rPr>
      <w:rFonts w:ascii="Times New Roman" w:eastAsia="Times New Roman" w:hAnsi="Times New Roman" w:cs="Times New Roman"/>
      <w:b/>
      <w:sz w:val="24"/>
      <w:szCs w:val="20"/>
      <w:lang w:eastAsia="fr-FR"/>
    </w:rPr>
  </w:style>
  <w:style w:type="character" w:customStyle="1" w:styleId="Heading5Char">
    <w:name w:val="Heading 5 Char"/>
    <w:basedOn w:val="DefaultParagraphFont"/>
    <w:link w:val="Heading5"/>
    <w:rsid w:val="009B6D49"/>
    <w:rPr>
      <w:rFonts w:ascii="Times New Roman" w:eastAsia="Times New Roman" w:hAnsi="Times New Roman" w:cs="Times New Roman"/>
      <w:i/>
      <w:sz w:val="24"/>
      <w:szCs w:val="20"/>
      <w:lang w:eastAsia="fr-FR"/>
    </w:rPr>
  </w:style>
  <w:style w:type="character" w:customStyle="1" w:styleId="Heading6Char">
    <w:name w:val="Heading 6 Char"/>
    <w:basedOn w:val="DefaultParagraphFont"/>
    <w:link w:val="Heading6"/>
    <w:rsid w:val="009B6D49"/>
    <w:rPr>
      <w:rFonts w:ascii="Times New Roman" w:eastAsia="Times New Roman" w:hAnsi="Times New Roman" w:cs="Times New Roman"/>
      <w:szCs w:val="20"/>
      <w:lang w:eastAsia="fr-FR"/>
    </w:rPr>
  </w:style>
  <w:style w:type="character" w:customStyle="1" w:styleId="Heading7Char">
    <w:name w:val="Heading 7 Char"/>
    <w:basedOn w:val="DefaultParagraphFont"/>
    <w:link w:val="Heading7"/>
    <w:rsid w:val="009B6D49"/>
    <w:rPr>
      <w:rFonts w:ascii="Times New Roman" w:eastAsia="Times New Roman" w:hAnsi="Times New Roman" w:cs="Times New Roman"/>
      <w:sz w:val="20"/>
      <w:szCs w:val="20"/>
      <w:lang w:eastAsia="fr-FR"/>
    </w:rPr>
  </w:style>
  <w:style w:type="character" w:customStyle="1" w:styleId="Heading8Char">
    <w:name w:val="Heading 8 Char"/>
    <w:basedOn w:val="DefaultParagraphFont"/>
    <w:link w:val="Heading8"/>
    <w:rsid w:val="009B6D49"/>
    <w:rPr>
      <w:rFonts w:ascii="Arial" w:eastAsia="Times New Roman" w:hAnsi="Arial" w:cs="Times New Roman"/>
      <w:i/>
      <w:sz w:val="20"/>
      <w:szCs w:val="20"/>
      <w:lang w:eastAsia="fr-FR"/>
    </w:rPr>
  </w:style>
  <w:style w:type="character" w:customStyle="1" w:styleId="Heading9Char">
    <w:name w:val="Heading 9 Char"/>
    <w:basedOn w:val="DefaultParagraphFont"/>
    <w:link w:val="Heading9"/>
    <w:rsid w:val="009B6D49"/>
    <w:rPr>
      <w:rFonts w:ascii="Arial" w:eastAsia="Times New Roman" w:hAnsi="Arial" w:cs="Times New Roman"/>
      <w:b/>
      <w:i/>
      <w:sz w:val="18"/>
      <w:szCs w:val="20"/>
      <w:lang w:eastAsia="fr-FR"/>
    </w:rPr>
  </w:style>
  <w:style w:type="paragraph" w:styleId="Caption">
    <w:name w:val="caption"/>
    <w:basedOn w:val="Normal"/>
    <w:next w:val="Normal"/>
    <w:qFormat/>
    <w:rsid w:val="009B6D49"/>
    <w:rPr>
      <w:rFonts w:eastAsia="Times New Roman" w:cs="Times New Roman"/>
    </w:rPr>
  </w:style>
  <w:style w:type="paragraph" w:styleId="Title">
    <w:name w:val="Title"/>
    <w:basedOn w:val="Normal"/>
    <w:next w:val="Normal"/>
    <w:link w:val="TitleChar"/>
    <w:qFormat/>
    <w:rsid w:val="009B6D49"/>
    <w:pPr>
      <w:spacing w:before="240" w:after="60"/>
      <w:jc w:val="center"/>
      <w:outlineLvl w:val="0"/>
    </w:pPr>
    <w:rPr>
      <w:rFonts w:eastAsia="Times New Roman" w:cs="Times New Roman"/>
      <w:b/>
      <w:bCs/>
      <w:caps/>
      <w:kern w:val="28"/>
      <w:sz w:val="28"/>
      <w:szCs w:val="32"/>
    </w:rPr>
  </w:style>
  <w:style w:type="character" w:customStyle="1" w:styleId="TitleChar">
    <w:name w:val="Title Char"/>
    <w:basedOn w:val="DefaultParagraphFont"/>
    <w:link w:val="Title"/>
    <w:rsid w:val="009B6D49"/>
    <w:rPr>
      <w:rFonts w:ascii="Times New Roman" w:eastAsia="Times New Roman" w:hAnsi="Times New Roman" w:cs="Times New Roman"/>
      <w:b/>
      <w:bCs/>
      <w:caps/>
      <w:kern w:val="28"/>
      <w:sz w:val="28"/>
      <w:szCs w:val="32"/>
      <w:lang w:eastAsia="fr-FR"/>
    </w:rPr>
  </w:style>
  <w:style w:type="paragraph" w:styleId="ListParagraph">
    <w:name w:val="List Paragraph"/>
    <w:basedOn w:val="Normal"/>
    <w:uiPriority w:val="34"/>
    <w:qFormat/>
    <w:rsid w:val="00E703E3"/>
    <w:rPr>
      <w:rFonts w:eastAsia="Times New Roman" w:cs="Times New Roman"/>
    </w:rPr>
  </w:style>
  <w:style w:type="paragraph" w:styleId="Header">
    <w:name w:val="header"/>
    <w:basedOn w:val="Normal"/>
    <w:link w:val="HeaderChar"/>
    <w:uiPriority w:val="99"/>
    <w:unhideWhenUsed/>
    <w:rsid w:val="00C14126"/>
    <w:pPr>
      <w:tabs>
        <w:tab w:val="center" w:pos="4703"/>
        <w:tab w:val="right" w:pos="9406"/>
      </w:tabs>
    </w:pPr>
  </w:style>
  <w:style w:type="character" w:customStyle="1" w:styleId="HeaderChar">
    <w:name w:val="Header Char"/>
    <w:basedOn w:val="DefaultParagraphFont"/>
    <w:link w:val="Header"/>
    <w:uiPriority w:val="99"/>
    <w:rsid w:val="00C14126"/>
    <w:rPr>
      <w:rFonts w:ascii="Times New Roman" w:hAnsi="Times New Roman"/>
      <w:sz w:val="24"/>
      <w:szCs w:val="20"/>
      <w:lang w:eastAsia="fr-FR"/>
    </w:rPr>
  </w:style>
  <w:style w:type="paragraph" w:styleId="Footer">
    <w:name w:val="footer"/>
    <w:basedOn w:val="Normal"/>
    <w:link w:val="FooterChar"/>
    <w:uiPriority w:val="99"/>
    <w:unhideWhenUsed/>
    <w:rsid w:val="00C14126"/>
    <w:pPr>
      <w:tabs>
        <w:tab w:val="center" w:pos="4703"/>
        <w:tab w:val="right" w:pos="9406"/>
      </w:tabs>
    </w:pPr>
  </w:style>
  <w:style w:type="character" w:customStyle="1" w:styleId="FooterChar">
    <w:name w:val="Footer Char"/>
    <w:basedOn w:val="DefaultParagraphFont"/>
    <w:link w:val="Footer"/>
    <w:uiPriority w:val="99"/>
    <w:rsid w:val="00C14126"/>
    <w:rPr>
      <w:rFonts w:ascii="Times New Roman" w:hAnsi="Times New Roman"/>
      <w:sz w:val="24"/>
      <w:szCs w:val="20"/>
      <w:lang w:eastAsia="fr-FR"/>
    </w:rPr>
  </w:style>
  <w:style w:type="table" w:styleId="TableGrid">
    <w:name w:val="Table Grid"/>
    <w:basedOn w:val="TableNormal"/>
    <w:uiPriority w:val="59"/>
    <w:rsid w:val="00C141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126"/>
    <w:rPr>
      <w:rFonts w:ascii="Tahoma" w:hAnsi="Tahoma" w:cs="Tahoma"/>
      <w:sz w:val="16"/>
      <w:szCs w:val="16"/>
    </w:rPr>
  </w:style>
  <w:style w:type="character" w:customStyle="1" w:styleId="BalloonTextChar">
    <w:name w:val="Balloon Text Char"/>
    <w:basedOn w:val="DefaultParagraphFont"/>
    <w:link w:val="BalloonText"/>
    <w:uiPriority w:val="99"/>
    <w:semiHidden/>
    <w:rsid w:val="00C14126"/>
    <w:rPr>
      <w:rFonts w:ascii="Tahoma" w:hAnsi="Tahoma" w:cs="Tahoma"/>
      <w:sz w:val="16"/>
      <w:szCs w:val="16"/>
      <w:lang w:eastAsia="fr-FR"/>
    </w:rPr>
  </w:style>
  <w:style w:type="paragraph" w:customStyle="1" w:styleId="Text">
    <w:name w:val="Text"/>
    <w:basedOn w:val="Normal"/>
    <w:rsid w:val="007058B2"/>
    <w:pPr>
      <w:widowControl w:val="0"/>
      <w:spacing w:before="60" w:after="60"/>
      <w:jc w:val="left"/>
    </w:pPr>
    <w:rPr>
      <w:rFonts w:eastAsia="Times New Roman" w:cs="Arial"/>
      <w:sz w:val="20"/>
      <w:szCs w:val="18"/>
      <w:lang w:eastAsia="en-US"/>
    </w:rPr>
  </w:style>
  <w:style w:type="paragraph" w:styleId="FootnoteText">
    <w:name w:val="footnote text"/>
    <w:basedOn w:val="Normal"/>
    <w:link w:val="FootnoteTextChar"/>
    <w:uiPriority w:val="99"/>
    <w:semiHidden/>
    <w:unhideWhenUsed/>
    <w:rsid w:val="00196D51"/>
    <w:rPr>
      <w:sz w:val="20"/>
    </w:rPr>
  </w:style>
  <w:style w:type="character" w:customStyle="1" w:styleId="FootnoteTextChar">
    <w:name w:val="Footnote Text Char"/>
    <w:basedOn w:val="DefaultParagraphFont"/>
    <w:link w:val="FootnoteText"/>
    <w:uiPriority w:val="99"/>
    <w:semiHidden/>
    <w:rsid w:val="00196D51"/>
    <w:rPr>
      <w:rFonts w:ascii="Times New Roman" w:hAnsi="Times New Roman"/>
      <w:sz w:val="20"/>
      <w:szCs w:val="20"/>
      <w:lang w:eastAsia="fr-FR"/>
    </w:rPr>
  </w:style>
  <w:style w:type="character" w:styleId="FootnoteReference">
    <w:name w:val="footnote reference"/>
    <w:basedOn w:val="DefaultParagraphFont"/>
    <w:uiPriority w:val="99"/>
    <w:semiHidden/>
    <w:unhideWhenUsed/>
    <w:rsid w:val="00196D51"/>
    <w:rPr>
      <w:vertAlign w:val="superscript"/>
    </w:rPr>
  </w:style>
  <w:style w:type="character" w:styleId="CommentReference">
    <w:name w:val="annotation reference"/>
    <w:basedOn w:val="DefaultParagraphFont"/>
    <w:unhideWhenUsed/>
    <w:rsid w:val="00682A48"/>
    <w:rPr>
      <w:sz w:val="16"/>
      <w:szCs w:val="16"/>
    </w:rPr>
  </w:style>
  <w:style w:type="paragraph" w:styleId="CommentText">
    <w:name w:val="annotation text"/>
    <w:basedOn w:val="Normal"/>
    <w:link w:val="CommentTextChar"/>
    <w:unhideWhenUsed/>
    <w:rsid w:val="00682A48"/>
    <w:rPr>
      <w:sz w:val="20"/>
    </w:rPr>
  </w:style>
  <w:style w:type="character" w:customStyle="1" w:styleId="CommentTextChar">
    <w:name w:val="Comment Text Char"/>
    <w:basedOn w:val="DefaultParagraphFont"/>
    <w:link w:val="CommentText"/>
    <w:rsid w:val="00682A48"/>
    <w:rPr>
      <w:rFonts w:ascii="Times New Roman" w:hAnsi="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682A48"/>
    <w:rPr>
      <w:b/>
      <w:bCs/>
    </w:rPr>
  </w:style>
  <w:style w:type="character" w:customStyle="1" w:styleId="CommentSubjectChar">
    <w:name w:val="Comment Subject Char"/>
    <w:basedOn w:val="CommentTextChar"/>
    <w:link w:val="CommentSubject"/>
    <w:uiPriority w:val="99"/>
    <w:semiHidden/>
    <w:rsid w:val="00682A48"/>
    <w:rPr>
      <w:rFonts w:ascii="Times New Roman" w:hAnsi="Times New Roman"/>
      <w:b/>
      <w:bCs/>
      <w:sz w:val="20"/>
      <w:szCs w:val="20"/>
      <w:lang w:eastAsia="fr-FR"/>
    </w:rPr>
  </w:style>
  <w:style w:type="paragraph" w:customStyle="1" w:styleId="StyleBlockTextArial10ptNotBoldNotItalicBefore6pt1">
    <w:name w:val="Style Block Text + Arial 10 pt Not Bold Not Italic Before:  6 pt1"/>
    <w:basedOn w:val="BlockText"/>
    <w:rsid w:val="00297119"/>
    <w:pPr>
      <w:widowControl w:val="0"/>
      <w:pBdr>
        <w:top w:val="none" w:sz="0" w:space="0" w:color="auto"/>
        <w:left w:val="none" w:sz="0" w:space="0" w:color="auto"/>
        <w:bottom w:val="none" w:sz="0" w:space="0" w:color="auto"/>
        <w:right w:val="none" w:sz="0" w:space="0" w:color="auto"/>
      </w:pBdr>
      <w:tabs>
        <w:tab w:val="left" w:pos="0"/>
        <w:tab w:val="left" w:pos="720"/>
      </w:tabs>
      <w:suppressAutoHyphens/>
      <w:ind w:left="0" w:right="504" w:hanging="1440"/>
    </w:pPr>
    <w:rPr>
      <w:rFonts w:ascii="Arial" w:eastAsia="Times New Roman" w:hAnsi="Arial" w:cs="Times New Roman"/>
      <w:i w:val="0"/>
      <w:iCs w:val="0"/>
      <w:color w:val="auto"/>
      <w:spacing w:val="-3"/>
      <w:sz w:val="20"/>
      <w:szCs w:val="18"/>
      <w:lang w:eastAsia="en-US"/>
    </w:rPr>
  </w:style>
  <w:style w:type="paragraph" w:styleId="BlockText">
    <w:name w:val="Block Text"/>
    <w:basedOn w:val="Normal"/>
    <w:uiPriority w:val="99"/>
    <w:semiHidden/>
    <w:unhideWhenUsed/>
    <w:rsid w:val="00297119"/>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Revision">
    <w:name w:val="Revision"/>
    <w:hidden/>
    <w:uiPriority w:val="99"/>
    <w:semiHidden/>
    <w:rsid w:val="00FC31BC"/>
    <w:pPr>
      <w:spacing w:after="0" w:line="240" w:lineRule="auto"/>
    </w:pPr>
    <w:rPr>
      <w:rFonts w:ascii="Times New Roman" w:hAnsi="Times New Roman"/>
      <w:sz w:val="24"/>
      <w:szCs w:val="20"/>
      <w:lang w:eastAsia="fr-FR"/>
    </w:rPr>
  </w:style>
  <w:style w:type="paragraph" w:styleId="NormalWeb">
    <w:name w:val="Normal (Web)"/>
    <w:basedOn w:val="Normal"/>
    <w:uiPriority w:val="99"/>
    <w:semiHidden/>
    <w:unhideWhenUsed/>
    <w:rsid w:val="00DF649B"/>
    <w:pPr>
      <w:spacing w:before="100" w:beforeAutospacing="1" w:after="100" w:afterAutospacing="1"/>
      <w:jc w:val="left"/>
    </w:pPr>
    <w:rPr>
      <w:rFonts w:eastAsiaTheme="minorEastAsia" w:cs="Times New Roman"/>
      <w:szCs w:val="24"/>
      <w:lang w:eastAsia="en-US"/>
    </w:rPr>
  </w:style>
  <w:style w:type="table" w:customStyle="1" w:styleId="Grilledutableau1">
    <w:name w:val="Grille du tableau1"/>
    <w:basedOn w:val="TableNormal"/>
    <w:next w:val="TableGrid"/>
    <w:uiPriority w:val="59"/>
    <w:rsid w:val="008441A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14E49"/>
    <w:pPr>
      <w:widowControl w:val="0"/>
      <w:ind w:left="2100"/>
      <w:jc w:val="left"/>
    </w:pPr>
    <w:rPr>
      <w:rFonts w:eastAsia="Arial"/>
      <w:szCs w:val="22"/>
      <w:lang w:eastAsia="en-US"/>
    </w:rPr>
  </w:style>
  <w:style w:type="character" w:customStyle="1" w:styleId="BodyTextChar">
    <w:name w:val="Body Text Char"/>
    <w:basedOn w:val="DefaultParagraphFont"/>
    <w:link w:val="BodyText"/>
    <w:uiPriority w:val="1"/>
    <w:rsid w:val="00C14E49"/>
    <w:rPr>
      <w:rFonts w:ascii="Arial" w:eastAsia="Arial" w:hAnsi="Arial"/>
      <w:lang w:val="en-US"/>
    </w:rPr>
  </w:style>
  <w:style w:type="character" w:styleId="Hyperlink">
    <w:name w:val="Hyperlink"/>
    <w:basedOn w:val="DefaultParagraphFont"/>
    <w:uiPriority w:val="99"/>
    <w:unhideWhenUsed/>
    <w:rsid w:val="00526A07"/>
    <w:rPr>
      <w:color w:val="0000FF" w:themeColor="hyperlink"/>
      <w:u w:val="single"/>
    </w:rPr>
  </w:style>
  <w:style w:type="character" w:styleId="FollowedHyperlink">
    <w:name w:val="FollowedHyperlink"/>
    <w:basedOn w:val="DefaultParagraphFont"/>
    <w:uiPriority w:val="99"/>
    <w:semiHidden/>
    <w:unhideWhenUsed/>
    <w:rsid w:val="00526A07"/>
    <w:rPr>
      <w:color w:val="800080" w:themeColor="followedHyperlink"/>
      <w:u w:val="single"/>
    </w:rPr>
  </w:style>
  <w:style w:type="table" w:customStyle="1" w:styleId="Grilledutableau2">
    <w:name w:val="Grille du tableau2"/>
    <w:basedOn w:val="TableNormal"/>
    <w:next w:val="TableGrid"/>
    <w:uiPriority w:val="59"/>
    <w:rsid w:val="0043721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A51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268327">
      <w:bodyDiv w:val="1"/>
      <w:marLeft w:val="0"/>
      <w:marRight w:val="0"/>
      <w:marTop w:val="0"/>
      <w:marBottom w:val="0"/>
      <w:divBdr>
        <w:top w:val="none" w:sz="0" w:space="0" w:color="auto"/>
        <w:left w:val="none" w:sz="0" w:space="0" w:color="auto"/>
        <w:bottom w:val="none" w:sz="0" w:space="0" w:color="auto"/>
        <w:right w:val="none" w:sz="0" w:space="0" w:color="auto"/>
      </w:divBdr>
    </w:div>
    <w:div w:id="796870960">
      <w:bodyDiv w:val="1"/>
      <w:marLeft w:val="0"/>
      <w:marRight w:val="0"/>
      <w:marTop w:val="0"/>
      <w:marBottom w:val="0"/>
      <w:divBdr>
        <w:top w:val="none" w:sz="0" w:space="0" w:color="auto"/>
        <w:left w:val="none" w:sz="0" w:space="0" w:color="auto"/>
        <w:bottom w:val="none" w:sz="0" w:space="0" w:color="auto"/>
        <w:right w:val="none" w:sz="0" w:space="0" w:color="auto"/>
      </w:divBdr>
    </w:div>
    <w:div w:id="979850174">
      <w:bodyDiv w:val="1"/>
      <w:marLeft w:val="0"/>
      <w:marRight w:val="0"/>
      <w:marTop w:val="0"/>
      <w:marBottom w:val="0"/>
      <w:divBdr>
        <w:top w:val="none" w:sz="0" w:space="0" w:color="auto"/>
        <w:left w:val="none" w:sz="0" w:space="0" w:color="auto"/>
        <w:bottom w:val="none" w:sz="0" w:space="0" w:color="auto"/>
        <w:right w:val="none" w:sz="0" w:space="0" w:color="auto"/>
      </w:divBdr>
    </w:div>
    <w:div w:id="1006711518">
      <w:bodyDiv w:val="1"/>
      <w:marLeft w:val="0"/>
      <w:marRight w:val="0"/>
      <w:marTop w:val="0"/>
      <w:marBottom w:val="0"/>
      <w:divBdr>
        <w:top w:val="none" w:sz="0" w:space="0" w:color="auto"/>
        <w:left w:val="none" w:sz="0" w:space="0" w:color="auto"/>
        <w:bottom w:val="none" w:sz="0" w:space="0" w:color="auto"/>
        <w:right w:val="none" w:sz="0" w:space="0" w:color="auto"/>
      </w:divBdr>
    </w:div>
    <w:div w:id="1322810181">
      <w:bodyDiv w:val="1"/>
      <w:marLeft w:val="0"/>
      <w:marRight w:val="0"/>
      <w:marTop w:val="0"/>
      <w:marBottom w:val="0"/>
      <w:divBdr>
        <w:top w:val="none" w:sz="0" w:space="0" w:color="auto"/>
        <w:left w:val="none" w:sz="0" w:space="0" w:color="auto"/>
        <w:bottom w:val="none" w:sz="0" w:space="0" w:color="auto"/>
        <w:right w:val="none" w:sz="0" w:space="0" w:color="auto"/>
      </w:divBdr>
    </w:div>
    <w:div w:id="1878665883">
      <w:bodyDiv w:val="1"/>
      <w:marLeft w:val="0"/>
      <w:marRight w:val="0"/>
      <w:marTop w:val="0"/>
      <w:marBottom w:val="0"/>
      <w:divBdr>
        <w:top w:val="none" w:sz="0" w:space="0" w:color="auto"/>
        <w:left w:val="none" w:sz="0" w:space="0" w:color="auto"/>
        <w:bottom w:val="none" w:sz="0" w:space="0" w:color="auto"/>
        <w:right w:val="none" w:sz="0" w:space="0" w:color="auto"/>
      </w:divBdr>
    </w:div>
    <w:div w:id="191342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da.gov/downloads/AboutFDA/ReportsManualsForms/Forms/UCM29563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da.gov/downloads/MedicalDevices/DeviceRegulationandGuidance/IVDRegulatoryAssistance/UCM126211.do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da.gov/downloads/MedicalDevices/DeviceRegulationandGuidance/IVDRegulatoryAssistance/UCM126211.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B6008-8B1A-46E5-B62A-915031ECC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4052</Words>
  <Characters>23103</Characters>
  <Application>Microsoft Office Word</Application>
  <DocSecurity>6</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leanRAQAsystems</dc:creator>
  <cp:lastModifiedBy>Lean RAQA Systems</cp:lastModifiedBy>
  <cp:revision>4</cp:revision>
  <cp:lastPrinted>2018-11-26T18:22:00Z</cp:lastPrinted>
  <dcterms:created xsi:type="dcterms:W3CDTF">2018-11-26T18:21:00Z</dcterms:created>
  <dcterms:modified xsi:type="dcterms:W3CDTF">2018-11-26T18:22:00Z</dcterms:modified>
</cp:coreProperties>
</file>