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r>
      <w:r>
        <w:lastRenderedPageBreak/>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724F2D">
        <w:t xml:space="preserve">{ </w:t>
      </w:r>
      <w:r w:rsidR="00F22F94">
        <w:t>outstatement</w:t>
      </w:r>
      <w:r w:rsidR="00724F2D">
        <w:t xml:space="preserve"> | values | properties}</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lastRenderedPageBreak/>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D44E33" w:rsidRDefault="00D44E33" w:rsidP="005020E1">
      <w:r>
        <w:t xml:space="preserve">values := VALUES </w:t>
      </w:r>
      <w:r w:rsidR="00724F2D">
        <w:t>valuelist</w:t>
      </w:r>
      <w:r>
        <w:t xml:space="preserve"> [ , </w:t>
      </w:r>
      <w:r w:rsidR="00724F2D">
        <w:t xml:space="preserve">valuelist2 </w:t>
      </w:r>
      <w:r>
        <w:t>… ]</w:t>
      </w:r>
    </w:p>
    <w:p w:rsidR="00724F2D" w:rsidRDefault="00724F2D" w:rsidP="00724F2D">
      <w:r>
        <w:t>valuelist := ( expression [ , expression2 …] )</w:t>
      </w:r>
    </w:p>
    <w:p w:rsidR="00D44E33" w:rsidRDefault="00D44E33" w:rsidP="005020E1">
      <w:r>
        <w:t>properties := PROPERTIES charexpression propname [ , propname2 … ]</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D44E33" w:rsidRDefault="00D44E33" w:rsidP="00D44E33">
      <w:r>
        <w:lastRenderedPageBreak/>
        <w:t>If VALUES is specified, a SQL VALUES clause must be specified.  Each value may be a constant or an expression including variables.</w:t>
      </w:r>
    </w:p>
    <w:p w:rsidR="00D44E33" w:rsidRDefault="00D44E33" w:rsidP="00D44E33">
      <w:r>
        <w:t>If PROPERTIES is specified, the charexpression is evaluated and used as the name of a file that must exist in the properties directory indicated in RunDbp.path.properties.  If a relative path is specified, it is 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 xml:space="preserve">The fileidentifier must have been previously created by a CREATE </w:t>
      </w:r>
      <w:r w:rsidR="00F05AEF">
        <w:t>task</w:t>
      </w:r>
      <w:r>
        <w:t>.</w:t>
      </w:r>
    </w:p>
    <w:p w:rsidR="006C19FB" w:rsidRDefault="006C19FB" w:rsidP="006C19FB">
      <w:r>
        <w:t>The FROM clause 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05AEF" w:rsidRPr="00381470" w:rsidRDefault="00F05AEF" w:rsidP="00F05AEF">
      <w:pPr>
        <w:pStyle w:val="Heading2"/>
      </w:pPr>
      <w:r>
        <w:t>CLOSE</w:t>
      </w:r>
    </w:p>
    <w:p w:rsidR="00F05AEF" w:rsidRDefault="00F05AEF" w:rsidP="00F05AEF">
      <w:r>
        <w:t>close ::= CLOSE fileidentifier</w:t>
      </w:r>
    </w:p>
    <w:p w:rsidR="00F05AEF" w:rsidRDefault="00F05AEF" w:rsidP="00F05AEF">
      <w:r w:rsidRPr="005834FE">
        <w:rPr>
          <w:b/>
        </w:rPr>
        <w:t>Note</w:t>
      </w:r>
      <w:r>
        <w:rPr>
          <w:b/>
        </w:rPr>
        <w:t>s</w:t>
      </w:r>
      <w:r w:rsidRPr="005834FE">
        <w:rPr>
          <w:b/>
        </w:rPr>
        <w:t>:</w:t>
      </w:r>
    </w:p>
    <w:p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lastRenderedPageBreak/>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 xml:space="preserve"> in a long-running script, many written files can end up with the same time stamp even though they may have been written at different times.  To assure a file is timestamped when writing is logically completely, use the CLOSE task.</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 </w:t>
      </w:r>
      <w:r w:rsidR="00F22F94">
        <w:t>in</w:t>
      </w:r>
      <w:r w:rsidR="00F44954">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lastRenderedPageBreak/>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file specified by fileidentifier is opened, optionally reading headers.  </w:t>
      </w:r>
      <w:r w:rsidR="00150937">
        <w:t>Each data row is read from fileidentifier and the INTO clause is applied to it</w:t>
      </w:r>
      <w:r>
        <w:t>.</w:t>
      </w:r>
    </w:p>
    <w:p w:rsidR="0086664C" w:rsidRDefault="0086664C" w:rsidP="0086664C">
      <w:r>
        <w:lastRenderedPageBreak/>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lastRenderedPageBreak/>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lastRenderedPageBreak/>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lastRenderedPageBreak/>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lastRenderedPageBreak/>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specified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rsidR="00240FB5" w:rsidRDefault="006F340E" w:rsidP="00FB28DF">
      <w:pPr>
        <w:ind w:left="1440" w:hanging="1440"/>
      </w:pPr>
      <w:r>
        <w:t>time ::=</w:t>
      </w:r>
      <w:r>
        <w:tab/>
      </w:r>
      <w:bookmarkStart w:id="1" w:name="_GoBack"/>
      <w:bookmarkEnd w:id="1"/>
      <w:r>
        <w:t xml:space="preserve">quotedtime | NOW | </w:t>
      </w:r>
      <w:r w:rsidRPr="004824AD">
        <w:t>int {HOURS | MINUTES | SECONDS} }</w:t>
      </w:r>
      <w:r>
        <w:t xml:space="preserve"> FROM NOW</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lastRenderedPageBreak/>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lastRenderedPageBreak/>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lastRenderedPageBreak/>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lastRenderedPageBreak/>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1B0282" w:rsidRDefault="001B0282" w:rsidP="001B0282">
      <w:pPr>
        <w:pStyle w:val="Heading2"/>
      </w:pPr>
      <w:r>
        <w:t>PROMPT</w:t>
      </w:r>
    </w:p>
    <w:p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lastRenderedPageBreak/>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F14" w:rsidRDefault="00157F14" w:rsidP="0007757E">
      <w:pPr>
        <w:spacing w:after="0" w:line="240" w:lineRule="auto"/>
      </w:pPr>
      <w:r>
        <w:separator/>
      </w:r>
    </w:p>
  </w:endnote>
  <w:endnote w:type="continuationSeparator" w:id="0">
    <w:p w:rsidR="00157F14" w:rsidRDefault="00157F14"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157F14"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6F340E">
      <w:rPr>
        <w:noProof/>
      </w:rPr>
      <w:t>18</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F14" w:rsidRDefault="00157F14" w:rsidP="0007757E">
      <w:pPr>
        <w:spacing w:after="0" w:line="240" w:lineRule="auto"/>
      </w:pPr>
      <w:r>
        <w:separator/>
      </w:r>
    </w:p>
  </w:footnote>
  <w:footnote w:type="continuationSeparator" w:id="0">
    <w:p w:rsidR="00157F14" w:rsidRDefault="00157F14"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57F14"/>
    <w:rsid w:val="001730BA"/>
    <w:rsid w:val="00184026"/>
    <w:rsid w:val="0019243A"/>
    <w:rsid w:val="001A02D8"/>
    <w:rsid w:val="001A48C2"/>
    <w:rsid w:val="001B0282"/>
    <w:rsid w:val="001D172C"/>
    <w:rsid w:val="001D19A6"/>
    <w:rsid w:val="001E696B"/>
    <w:rsid w:val="001E6AC7"/>
    <w:rsid w:val="002260E0"/>
    <w:rsid w:val="00226AA4"/>
    <w:rsid w:val="00227868"/>
    <w:rsid w:val="0023558E"/>
    <w:rsid w:val="00240FB5"/>
    <w:rsid w:val="002535DB"/>
    <w:rsid w:val="00275E81"/>
    <w:rsid w:val="002907C0"/>
    <w:rsid w:val="00293F1B"/>
    <w:rsid w:val="002B540B"/>
    <w:rsid w:val="002C12ED"/>
    <w:rsid w:val="002C5854"/>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1EE0"/>
    <w:rsid w:val="004F3C02"/>
    <w:rsid w:val="005020E1"/>
    <w:rsid w:val="00531AD6"/>
    <w:rsid w:val="00533F07"/>
    <w:rsid w:val="0053618E"/>
    <w:rsid w:val="0054094F"/>
    <w:rsid w:val="00550B81"/>
    <w:rsid w:val="00565454"/>
    <w:rsid w:val="005758D2"/>
    <w:rsid w:val="005834FE"/>
    <w:rsid w:val="005B7EC5"/>
    <w:rsid w:val="005E2D31"/>
    <w:rsid w:val="005F1098"/>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6F340E"/>
    <w:rsid w:val="00724F2D"/>
    <w:rsid w:val="007309D7"/>
    <w:rsid w:val="00756042"/>
    <w:rsid w:val="00780184"/>
    <w:rsid w:val="007872BE"/>
    <w:rsid w:val="0079528F"/>
    <w:rsid w:val="007A1616"/>
    <w:rsid w:val="007B673A"/>
    <w:rsid w:val="007C55DD"/>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A78CF"/>
    <w:rsid w:val="009D7FD9"/>
    <w:rsid w:val="009E468C"/>
    <w:rsid w:val="009F52B2"/>
    <w:rsid w:val="00A113B9"/>
    <w:rsid w:val="00A12E0E"/>
    <w:rsid w:val="00A20564"/>
    <w:rsid w:val="00A21F45"/>
    <w:rsid w:val="00A24CD7"/>
    <w:rsid w:val="00A456CB"/>
    <w:rsid w:val="00A65960"/>
    <w:rsid w:val="00A8506D"/>
    <w:rsid w:val="00A874E0"/>
    <w:rsid w:val="00A93ECC"/>
    <w:rsid w:val="00AC302E"/>
    <w:rsid w:val="00AE683F"/>
    <w:rsid w:val="00AF553F"/>
    <w:rsid w:val="00B03A00"/>
    <w:rsid w:val="00B076A8"/>
    <w:rsid w:val="00B10A8E"/>
    <w:rsid w:val="00B14511"/>
    <w:rsid w:val="00B22626"/>
    <w:rsid w:val="00B345DB"/>
    <w:rsid w:val="00B34B9F"/>
    <w:rsid w:val="00B351AF"/>
    <w:rsid w:val="00B47D64"/>
    <w:rsid w:val="00B50977"/>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4E33"/>
    <w:rsid w:val="00D4575F"/>
    <w:rsid w:val="00D47DC0"/>
    <w:rsid w:val="00D54428"/>
    <w:rsid w:val="00D76055"/>
    <w:rsid w:val="00DB3B41"/>
    <w:rsid w:val="00DB7F92"/>
    <w:rsid w:val="00DD1892"/>
    <w:rsid w:val="00DD2EF8"/>
    <w:rsid w:val="00DE5E68"/>
    <w:rsid w:val="00DF0043"/>
    <w:rsid w:val="00DF650F"/>
    <w:rsid w:val="00E33AF0"/>
    <w:rsid w:val="00E3720F"/>
    <w:rsid w:val="00E52B00"/>
    <w:rsid w:val="00E9569E"/>
    <w:rsid w:val="00EA0300"/>
    <w:rsid w:val="00EA63A6"/>
    <w:rsid w:val="00EB3684"/>
    <w:rsid w:val="00F0200B"/>
    <w:rsid w:val="00F05AEF"/>
    <w:rsid w:val="00F13C53"/>
    <w:rsid w:val="00F14B04"/>
    <w:rsid w:val="00F17A70"/>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D5367"/>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A04F"/>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1216D1"/>
    <w:rsid w:val="00240647"/>
    <w:rsid w:val="002B6C30"/>
    <w:rsid w:val="00323414"/>
    <w:rsid w:val="00347349"/>
    <w:rsid w:val="0037113B"/>
    <w:rsid w:val="0038451C"/>
    <w:rsid w:val="00432AD8"/>
    <w:rsid w:val="005424CD"/>
    <w:rsid w:val="005B2DA0"/>
    <w:rsid w:val="006203F7"/>
    <w:rsid w:val="00652101"/>
    <w:rsid w:val="0069592D"/>
    <w:rsid w:val="006D63A8"/>
    <w:rsid w:val="006D6622"/>
    <w:rsid w:val="00757AF3"/>
    <w:rsid w:val="008D2B46"/>
    <w:rsid w:val="00A25CA7"/>
    <w:rsid w:val="00AA15CA"/>
    <w:rsid w:val="00AC78E6"/>
    <w:rsid w:val="00AE365D"/>
    <w:rsid w:val="00B46BB4"/>
    <w:rsid w:val="00D05D03"/>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3381</TotalTime>
  <Pages>23</Pages>
  <Words>6769</Words>
  <Characters>38589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146</cp:revision>
  <dcterms:created xsi:type="dcterms:W3CDTF">2015-09-23T00:42:00Z</dcterms:created>
  <dcterms:modified xsi:type="dcterms:W3CDTF">2017-06-11T16:00:00Z</dcterms:modified>
</cp:coreProperties>
</file>