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lastRenderedPageBreak/>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lastRenderedPageBreak/>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lastRenderedPageBreak/>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lastRenderedPageBreak/>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w:t>
      </w:r>
      <w:r w:rsidR="004711D1">
        <w:t>an array</w:t>
      </w:r>
      <w:r w:rsidR="004711D1">
        <w:t>, a row is written to the data-target</w:t>
      </w:r>
      <w:r w:rsidR="004711D1">
        <w:t xml:space="preserve"> for each array element. </w:t>
      </w:r>
      <w:bookmarkStart w:id="0" w:name="_GoBack"/>
      <w:bookmarkEnd w:id="0"/>
      <w:r w:rsidR="004711D1">
        <w:t xml:space="preserve">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lastRenderedPageBreak/>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4E0" w:rsidRDefault="00A874E0" w:rsidP="0007757E">
      <w:pPr>
        <w:spacing w:after="0" w:line="240" w:lineRule="auto"/>
      </w:pPr>
      <w:r>
        <w:separator/>
      </w:r>
    </w:p>
  </w:endnote>
  <w:endnote w:type="continuationSeparator" w:id="0">
    <w:p w:rsidR="00A874E0" w:rsidRDefault="00A874E0"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A874E0"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4711D1">
      <w:rPr>
        <w:noProof/>
      </w:rPr>
      <w:t>19</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4E0" w:rsidRDefault="00A874E0" w:rsidP="0007757E">
      <w:pPr>
        <w:spacing w:after="0" w:line="240" w:lineRule="auto"/>
      </w:pPr>
      <w:r>
        <w:separator/>
      </w:r>
    </w:p>
  </w:footnote>
  <w:footnote w:type="continuationSeparator" w:id="0">
    <w:p w:rsidR="00A874E0" w:rsidRDefault="00A874E0"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730BA"/>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7309D7"/>
    <w:rsid w:val="00756042"/>
    <w:rsid w:val="007872BE"/>
    <w:rsid w:val="0079528F"/>
    <w:rsid w:val="007A1616"/>
    <w:rsid w:val="007B673A"/>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874E0"/>
    <w:rsid w:val="00A93ECC"/>
    <w:rsid w:val="00AC302E"/>
    <w:rsid w:val="00AE683F"/>
    <w:rsid w:val="00AF553F"/>
    <w:rsid w:val="00B03A00"/>
    <w:rsid w:val="00B076A8"/>
    <w:rsid w:val="00B10A8E"/>
    <w:rsid w:val="00B14511"/>
    <w:rsid w:val="00B22626"/>
    <w:rsid w:val="00B345DB"/>
    <w:rsid w:val="00B34B9F"/>
    <w:rsid w:val="00B351AF"/>
    <w:rsid w:val="00B47D64"/>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575F"/>
    <w:rsid w:val="00D47DC0"/>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14B04"/>
    <w:rsid w:val="00F17A70"/>
    <w:rsid w:val="00F22F94"/>
    <w:rsid w:val="00F2509B"/>
    <w:rsid w:val="00F44954"/>
    <w:rsid w:val="00F465E3"/>
    <w:rsid w:val="00F57B6F"/>
    <w:rsid w:val="00F65FCB"/>
    <w:rsid w:val="00F76407"/>
    <w:rsid w:val="00F83212"/>
    <w:rsid w:val="00F902BA"/>
    <w:rsid w:val="00FA2F0A"/>
    <w:rsid w:val="00FA7685"/>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AF70"/>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240647"/>
    <w:rsid w:val="002B6C30"/>
    <w:rsid w:val="00323414"/>
    <w:rsid w:val="00347349"/>
    <w:rsid w:val="0037113B"/>
    <w:rsid w:val="00432AD8"/>
    <w:rsid w:val="005424CD"/>
    <w:rsid w:val="005B2DA0"/>
    <w:rsid w:val="006203F7"/>
    <w:rsid w:val="00652101"/>
    <w:rsid w:val="0069592D"/>
    <w:rsid w:val="006D63A8"/>
    <w:rsid w:val="006D6622"/>
    <w:rsid w:val="00757AF3"/>
    <w:rsid w:val="008D2B46"/>
    <w:rsid w:val="00A25CA7"/>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3248</TotalTime>
  <Pages>21</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133</cp:revision>
  <dcterms:created xsi:type="dcterms:W3CDTF">2015-09-23T00:42:00Z</dcterms:created>
  <dcterms:modified xsi:type="dcterms:W3CDTF">2017-03-10T04:38:00Z</dcterms:modified>
</cp:coreProperties>
</file>