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 variables ] 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w:t>
      </w:r>
      <w:r>
        <w:lastRenderedPageBreak/>
        <w:t>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DAY | HOUR | MINUTE | SECOND</w:t>
      </w:r>
    </w:p>
    <w:p w:rsidR="00B03A00" w:rsidRDefault="00B14511">
      <w:r>
        <w:lastRenderedPageBreak/>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lastRenderedPageBreak/>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lastRenderedPageBreak/>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lastRenderedPageBreak/>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 xml:space="preserve">By default </w:t>
      </w:r>
      <w:r>
        <w:t>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86664C" w:rsidRDefault="0086664C" w:rsidP="0086664C">
      <w:r>
        <w:t xml:space="preserve">The fileidentifier charexpression is evaluated to determine the name of the file.  It may include no path, a relative path, or an absolute path.  If no path is specified, the file is </w:t>
      </w:r>
      <w:r>
        <w:t xml:space="preserve">opened from </w:t>
      </w:r>
      <w:r>
        <w:t xml:space="preserve">the </w:t>
      </w:r>
      <w:r>
        <w:t xml:space="preserve">read </w:t>
      </w:r>
      <w:r>
        <w:t xml:space="preserve">directory indicated in RunDbp.path.properties.  If a relative path is specified, it is relative to the </w:t>
      </w:r>
      <w:r>
        <w:t xml:space="preserve">read </w:t>
      </w:r>
      <w:r>
        <w:t>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lastRenderedPageBreak/>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lastRenderedPageBreak/>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86664C" w:rsidRDefault="0086664C" w:rsidP="0086664C">
      <w:r>
        <w:t xml:space="preserve">By default the file is </w:t>
      </w:r>
      <w:r>
        <w:t xml:space="preserve">opened from the read </w:t>
      </w:r>
      <w:r>
        <w:t>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lastRenderedPageBreak/>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w:t>
      </w:r>
      <w:r>
        <w:t xml:space="preserve">the FROM file(s) </w:t>
      </w:r>
      <w:r w:rsidR="008C19E7">
        <w:t xml:space="preserve">are read from </w:t>
      </w:r>
      <w:r>
        <w:t xml:space="preserve">and </w:t>
      </w:r>
      <w:r w:rsidR="008C19E7">
        <w:t xml:space="preserve">the </w:t>
      </w:r>
      <w:r>
        <w:t xml:space="preserve">TO archive </w:t>
      </w:r>
      <w:r w:rsidR="008C19E7">
        <w:t xml:space="preserve">is written to </w:t>
      </w:r>
      <w:r>
        <w:t xml:space="preserve">the </w:t>
      </w:r>
      <w:r>
        <w:t xml:space="preserve">write </w:t>
      </w:r>
      <w:r>
        <w:t>directory indicated in RunDbp.path.properties.</w:t>
      </w:r>
      <w:r>
        <w:t xml:space="preserve">  This reflects the assumption that the FROM files will have been created in the write directory</w:t>
      </w:r>
      <w:r w:rsidR="008C19E7" w:rsidRPr="008C19E7">
        <w:t xml:space="preserve"> </w:t>
      </w:r>
      <w:r w:rsidR="008C19E7">
        <w:t>by the current process</w:t>
      </w:r>
      <w:r w:rsidR="008C19E7">
        <w:t>.</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 xml:space="preserve">By default the FROM file(s) are </w:t>
      </w:r>
      <w:r>
        <w:t xml:space="preserve">read </w:t>
      </w:r>
      <w:r>
        <w:t xml:space="preserve">from the </w:t>
      </w:r>
      <w:r>
        <w:t xml:space="preserve">read </w:t>
      </w:r>
      <w:r>
        <w:t>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w:t>
      </w:r>
      <w:r w:rsidR="008C19E7">
        <w:t xml:space="preserve">This reflects the assumption that the </w:t>
      </w:r>
      <w:r w:rsidR="008C19E7">
        <w:t xml:space="preserve">TO </w:t>
      </w:r>
      <w:r w:rsidR="008C19E7">
        <w:t xml:space="preserve">files will </w:t>
      </w:r>
      <w:r w:rsidR="008C19E7">
        <w:t xml:space="preserve">be read </w:t>
      </w:r>
      <w:r w:rsidR="008C19E7">
        <w:t>by the current process.</w:t>
      </w:r>
    </w:p>
    <w:p w:rsidR="00C9744B" w:rsidRDefault="004934C6" w:rsidP="00EB3684">
      <w:pPr>
        <w:pStyle w:val="Heading2"/>
      </w:pPr>
      <w:r>
        <w:lastRenderedPageBreak/>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 xml:space="preserve">By default the </w:t>
      </w:r>
      <w:r>
        <w:t xml:space="preserve">TO directory is the read </w:t>
      </w:r>
      <w:r>
        <w:t xml:space="preserve">directory indicated in RunDbp.path.properties.  </w:t>
      </w:r>
      <w:r>
        <w:t xml:space="preserve">If a relative path is specified, it is relative to the read directory.  </w:t>
      </w:r>
      <w:r>
        <w:t xml:space="preserve">This reflects the assumption that the </w:t>
      </w:r>
      <w:r>
        <w:t xml:space="preserve">TO </w:t>
      </w:r>
      <w:r>
        <w:t xml:space="preserve">files will </w:t>
      </w:r>
      <w:r>
        <w:t xml:space="preserve">be read </w:t>
      </w:r>
      <w:r>
        <w:t>by the current process.</w:t>
      </w:r>
    </w:p>
    <w:p w:rsidR="00EB3684" w:rsidRPr="00381470" w:rsidRDefault="00EB3684" w:rsidP="00EB3684">
      <w:pPr>
        <w:pStyle w:val="Heading2"/>
      </w:pPr>
      <w:r>
        <w:lastRenderedPageBreak/>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 xml:space="preserve">By default the </w:t>
      </w:r>
      <w:r>
        <w:t xml:space="preserve">ATTACHMENT </w:t>
      </w:r>
      <w:r>
        <w:t xml:space="preserve">file(s) are read from the write directory indicated in RunDbp.path.properties.  This reflects the assumption that the </w:t>
      </w:r>
      <w:r>
        <w:t xml:space="preserve">ATTACHMENT </w:t>
      </w:r>
      <w:r>
        <w:t>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 xml:space="preserve">elete </w:t>
      </w:r>
      <w:r w:rsidR="00113C1A">
        <w:t xml:space="preserve">::= </w:t>
      </w:r>
      <w:r w:rsidR="00113C1A">
        <w:t xml:space="preserve">DELETE </w:t>
      </w:r>
      <w:r w:rsidR="00113C1A">
        <w:t>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r>
        <w:t>.</w:t>
      </w:r>
    </w:p>
    <w:p w:rsidR="00113C1A" w:rsidRDefault="00113C1A" w:rsidP="00113C1A">
      <w:r>
        <w:t xml:space="preserve">Each charexpression may optionally contain wildcard characters.  All the regular files that match an evaluated charexpression are </w:t>
      </w:r>
      <w:r>
        <w:t>deleted</w:t>
      </w:r>
      <w:r>
        <w:t>.</w:t>
      </w:r>
    </w:p>
    <w:p w:rsidR="00113C1A" w:rsidRDefault="00113C1A" w:rsidP="00113C1A">
      <w:r>
        <w:t xml:space="preserve">By default the file(s) are </w:t>
      </w:r>
      <w:r>
        <w:t xml:space="preserve">deleted from </w:t>
      </w:r>
      <w:r>
        <w:t>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 xml:space="preserve">rename </w:t>
      </w:r>
      <w:r>
        <w:t xml:space="preserve">::= </w:t>
      </w:r>
      <w:r>
        <w:t xml:space="preserve">RENAME </w:t>
      </w:r>
      <w:r>
        <w:t>[ FROM ] charexpression</w:t>
      </w:r>
      <w:r>
        <w:t xml:space="preserve"> </w:t>
      </w:r>
      <w:r>
        <w:t>[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w:t>
      </w:r>
      <w:bookmarkStart w:id="0" w:name="_GoBack"/>
      <w:bookmarkEnd w:id="0"/>
      <w:r w:rsidR="004002D4">
        <w:t xml:space="preserve">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lastRenderedPageBreak/>
        <w:t>COPY</w:t>
      </w:r>
    </w:p>
    <w:p w:rsidR="00BD769D" w:rsidRDefault="00BD769D" w:rsidP="00BD769D">
      <w:pPr>
        <w:ind w:left="1440" w:hanging="1440"/>
      </w:pPr>
      <w:r>
        <w:t>copy</w:t>
      </w:r>
      <w:r>
        <w:t xml:space="preserve"> ::= </w:t>
      </w:r>
      <w:r>
        <w:t>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 xml:space="preserve">If a relative directory is specified, it is relative to the </w:t>
      </w:r>
      <w:r>
        <w:t>write directory indicated in RunDbp.path.properties.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t>FAIL</w:t>
      </w:r>
    </w:p>
    <w:p w:rsidR="004824AD" w:rsidRDefault="004824AD" w:rsidP="004824AD">
      <w:r>
        <w:t>TODO: Add documentation here.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lastRenderedPageBreak/>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lastRenderedPageBreak/>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w:t>
      </w:r>
      <w:r w:rsidR="00E9569E">
        <w:t>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lastRenderedPageBreak/>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lastRenderedPageBreak/>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w:t>
      </w:r>
      <w:r w:rsidR="00693708">
        <w:lastRenderedPageBreak/>
        <w:t xml:space="preserve">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sectPr w:rsidR="00A456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73A" w:rsidRDefault="007B673A" w:rsidP="0007757E">
      <w:pPr>
        <w:spacing w:after="0" w:line="240" w:lineRule="auto"/>
      </w:pPr>
      <w:r>
        <w:separator/>
      </w:r>
    </w:p>
  </w:endnote>
  <w:endnote w:type="continuationSeparator" w:id="0">
    <w:p w:rsidR="007B673A" w:rsidRDefault="007B673A"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7B673A"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4002D4">
      <w:rPr>
        <w:noProof/>
      </w:rPr>
      <w:t>12</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73A" w:rsidRDefault="007B673A" w:rsidP="0007757E">
      <w:pPr>
        <w:spacing w:after="0" w:line="240" w:lineRule="auto"/>
      </w:pPr>
      <w:r>
        <w:separator/>
      </w:r>
    </w:p>
  </w:footnote>
  <w:footnote w:type="continuationSeparator" w:id="0">
    <w:p w:rsidR="007B673A" w:rsidRDefault="007B673A" w:rsidP="00077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93CA4"/>
    <w:rsid w:val="000C18FC"/>
    <w:rsid w:val="000E346F"/>
    <w:rsid w:val="00101360"/>
    <w:rsid w:val="00105C65"/>
    <w:rsid w:val="00113C1A"/>
    <w:rsid w:val="00114B77"/>
    <w:rsid w:val="00117CDE"/>
    <w:rsid w:val="001359F9"/>
    <w:rsid w:val="00150937"/>
    <w:rsid w:val="00184026"/>
    <w:rsid w:val="001A02D8"/>
    <w:rsid w:val="001A48C2"/>
    <w:rsid w:val="001D172C"/>
    <w:rsid w:val="001D19A6"/>
    <w:rsid w:val="001E696B"/>
    <w:rsid w:val="001E6AC7"/>
    <w:rsid w:val="002260E0"/>
    <w:rsid w:val="00226AA4"/>
    <w:rsid w:val="0023558E"/>
    <w:rsid w:val="002535DB"/>
    <w:rsid w:val="002907C0"/>
    <w:rsid w:val="00293F1B"/>
    <w:rsid w:val="002B540B"/>
    <w:rsid w:val="002C12ED"/>
    <w:rsid w:val="002E06FD"/>
    <w:rsid w:val="002E0AC3"/>
    <w:rsid w:val="002E2EE6"/>
    <w:rsid w:val="002F5330"/>
    <w:rsid w:val="00322F82"/>
    <w:rsid w:val="00332E00"/>
    <w:rsid w:val="003711FA"/>
    <w:rsid w:val="00371D88"/>
    <w:rsid w:val="00381470"/>
    <w:rsid w:val="003B7455"/>
    <w:rsid w:val="003F5ED7"/>
    <w:rsid w:val="003F68A8"/>
    <w:rsid w:val="004002D4"/>
    <w:rsid w:val="00422E29"/>
    <w:rsid w:val="00437A99"/>
    <w:rsid w:val="00441F39"/>
    <w:rsid w:val="00460579"/>
    <w:rsid w:val="00474DA1"/>
    <w:rsid w:val="004824AD"/>
    <w:rsid w:val="004934C6"/>
    <w:rsid w:val="004B126E"/>
    <w:rsid w:val="004C5AB9"/>
    <w:rsid w:val="004D2E25"/>
    <w:rsid w:val="004F3C02"/>
    <w:rsid w:val="005020E1"/>
    <w:rsid w:val="00531AD6"/>
    <w:rsid w:val="00533F07"/>
    <w:rsid w:val="0054094F"/>
    <w:rsid w:val="00550B81"/>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B673A"/>
    <w:rsid w:val="007D1845"/>
    <w:rsid w:val="007E07DF"/>
    <w:rsid w:val="007E44FD"/>
    <w:rsid w:val="007F32B6"/>
    <w:rsid w:val="007F6F7A"/>
    <w:rsid w:val="00806429"/>
    <w:rsid w:val="00807499"/>
    <w:rsid w:val="00816A8D"/>
    <w:rsid w:val="00817E68"/>
    <w:rsid w:val="0082407D"/>
    <w:rsid w:val="00835B8C"/>
    <w:rsid w:val="008367F5"/>
    <w:rsid w:val="008554DE"/>
    <w:rsid w:val="00856EDC"/>
    <w:rsid w:val="0086664C"/>
    <w:rsid w:val="00871278"/>
    <w:rsid w:val="008962CF"/>
    <w:rsid w:val="008A4DFC"/>
    <w:rsid w:val="008B44E9"/>
    <w:rsid w:val="008C19E7"/>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B9F"/>
    <w:rsid w:val="00B351AF"/>
    <w:rsid w:val="00B525C3"/>
    <w:rsid w:val="00B60DA6"/>
    <w:rsid w:val="00BA5534"/>
    <w:rsid w:val="00BC4F1B"/>
    <w:rsid w:val="00BC65BD"/>
    <w:rsid w:val="00BD4343"/>
    <w:rsid w:val="00BD769D"/>
    <w:rsid w:val="00BF128C"/>
    <w:rsid w:val="00C070BD"/>
    <w:rsid w:val="00C46F3E"/>
    <w:rsid w:val="00C60A61"/>
    <w:rsid w:val="00C703E6"/>
    <w:rsid w:val="00C71292"/>
    <w:rsid w:val="00C77D92"/>
    <w:rsid w:val="00C8037D"/>
    <w:rsid w:val="00C805D6"/>
    <w:rsid w:val="00C874B4"/>
    <w:rsid w:val="00C91784"/>
    <w:rsid w:val="00C9744B"/>
    <w:rsid w:val="00CA543E"/>
    <w:rsid w:val="00CB0FA4"/>
    <w:rsid w:val="00CB69AC"/>
    <w:rsid w:val="00CC574F"/>
    <w:rsid w:val="00CE3B53"/>
    <w:rsid w:val="00D00785"/>
    <w:rsid w:val="00D25DA9"/>
    <w:rsid w:val="00D3743E"/>
    <w:rsid w:val="00D4575F"/>
    <w:rsid w:val="00D76055"/>
    <w:rsid w:val="00DB3B41"/>
    <w:rsid w:val="00DB7F92"/>
    <w:rsid w:val="00DD1892"/>
    <w:rsid w:val="00DE5E68"/>
    <w:rsid w:val="00DF0043"/>
    <w:rsid w:val="00DF650F"/>
    <w:rsid w:val="00E33AF0"/>
    <w:rsid w:val="00E52B00"/>
    <w:rsid w:val="00E9569E"/>
    <w:rsid w:val="00EA63A6"/>
    <w:rsid w:val="00EB3684"/>
    <w:rsid w:val="00F13C53"/>
    <w:rsid w:val="00F22F94"/>
    <w:rsid w:val="00F2509B"/>
    <w:rsid w:val="00F44954"/>
    <w:rsid w:val="00F465E3"/>
    <w:rsid w:val="00F57B6F"/>
    <w:rsid w:val="00F65FCB"/>
    <w:rsid w:val="00F76407"/>
    <w:rsid w:val="00F83212"/>
    <w:rsid w:val="00F902BA"/>
    <w:rsid w:val="00FA2F0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AAA5"/>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323414"/>
    <w:rsid w:val="0037113B"/>
    <w:rsid w:val="00432AD8"/>
    <w:rsid w:val="005424CD"/>
    <w:rsid w:val="00652101"/>
    <w:rsid w:val="0069592D"/>
    <w:rsid w:val="006D63A8"/>
    <w:rsid w:val="00757AF3"/>
    <w:rsid w:val="008D2B46"/>
    <w:rsid w:val="00AC78E6"/>
    <w:rsid w:val="00AE365D"/>
    <w:rsid w:val="00B46BB4"/>
    <w:rsid w:val="00D05D03"/>
    <w:rsid w:val="00E01DAF"/>
    <w:rsid w:val="00E25113"/>
    <w:rsid w:val="00F33AC5"/>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1853</TotalTime>
  <Pages>18</Pages>
  <Words>4826</Words>
  <Characters>27512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32274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120</cp:revision>
  <dcterms:created xsi:type="dcterms:W3CDTF">2015-09-23T00:42:00Z</dcterms:created>
  <dcterms:modified xsi:type="dcterms:W3CDTF">2017-01-31T02:45:00Z</dcterms:modified>
</cp:coreProperties>
</file>