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r>
        <w:t xml:space="preserve">RunDbp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r w:rsidRPr="00CD5F6B">
        <w:t xml:space="preserve">processId </w:t>
      </w:r>
      <w:r>
        <w:t>VARCHAR</w:t>
      </w:r>
    </w:p>
    <w:p w:rsidR="00CD5F6B" w:rsidRDefault="00CD5F6B" w:rsidP="00CD5F6B">
      <w:pPr>
        <w:pStyle w:val="ListParagraph"/>
        <w:numPr>
          <w:ilvl w:val="1"/>
          <w:numId w:val="1"/>
        </w:numPr>
      </w:pPr>
      <w:r w:rsidRPr="00CD5F6B">
        <w:t xml:space="preserve">taskId </w:t>
      </w:r>
      <w:r>
        <w:t>VARCHAR</w:t>
      </w:r>
    </w:p>
    <w:p w:rsidR="00CD5F6B" w:rsidRDefault="00CD5F6B" w:rsidP="00CD5F6B">
      <w:pPr>
        <w:pStyle w:val="ListParagraph"/>
        <w:numPr>
          <w:ilvl w:val="1"/>
          <w:numId w:val="1"/>
        </w:numPr>
      </w:pPr>
      <w:r>
        <w:t>messageTime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r w:rsidRPr="00D91A8A">
        <w:t>RunDbp.</w:t>
      </w:r>
      <w:r w:rsidR="00F80212">
        <w:t>path</w:t>
      </w:r>
      <w:r w:rsidRPr="00D91A8A">
        <w:t>.properties</w:t>
      </w:r>
      <w:r w:rsidR="00F80212">
        <w:t>.  (You can always set an absolute path for the file itself in RunDbp.log.properties.)</w:t>
      </w:r>
      <w:r w:rsidR="000D4B88">
        <w:t xml:space="preserve"> – DONE</w:t>
      </w:r>
    </w:p>
    <w:p w:rsidR="00D91A8A" w:rsidRDefault="00D91A8A" w:rsidP="00D91A8A">
      <w:pPr>
        <w:pStyle w:val="ListParagraph"/>
        <w:numPr>
          <w:ilvl w:val="0"/>
          <w:numId w:val="1"/>
        </w:numPr>
      </w:pPr>
      <w:r>
        <w:t>Control logging errors vs. programmatic messages vs. orphan warnings vs. routine start/stop messages.  See SSIS options and logback.</w:t>
      </w:r>
      <w:r w:rsidR="00947EF0">
        <w:t xml:space="preserve"> – DONE</w:t>
      </w:r>
    </w:p>
    <w:p w:rsidR="000D4B88" w:rsidRDefault="000D4B88" w:rsidP="000D4B88">
      <w:pPr>
        <w:pStyle w:val="ListParagraph"/>
        <w:numPr>
          <w:ilvl w:val="0"/>
          <w:numId w:val="1"/>
        </w:numPr>
      </w:pPr>
      <w:r>
        <w:t xml:space="preserve">Allow </w:t>
      </w:r>
      <w:r w:rsidR="00947EF0">
        <w:t xml:space="preserve">rolling </w:t>
      </w:r>
      <w:r>
        <w:t>log files with file naming convention.   See logback.</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Rename Context.nestContext() as make</w:t>
      </w:r>
      <w:r w:rsidR="00A350C7">
        <w:t>Child</w:t>
      </w:r>
      <w:r>
        <w:t>Context(); rename Con</w:t>
      </w:r>
      <w:r w:rsidR="00A350C7">
        <w:t>text.cloneContext() as makeNested</w:t>
      </w:r>
      <w:r>
        <w:t>Context().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WAITFOR ASYNC: waits for all async processes spawned by any direct or indirect predecessors to complete</w:t>
      </w:r>
      <w:r w:rsidR="008A64B0">
        <w:t xml:space="preserve"> – DONE</w:t>
      </w:r>
    </w:p>
    <w:p w:rsidR="00DA137B" w:rsidRDefault="00DA137B" w:rsidP="008A4328">
      <w:pPr>
        <w:pStyle w:val="ListParagraph"/>
        <w:numPr>
          <w:ilvl w:val="0"/>
          <w:numId w:val="1"/>
        </w:numPr>
      </w:pPr>
      <w:r>
        <w:t>Allow LOG task to accept a list of string expression; each string expression generates a separate line in the log.</w:t>
      </w:r>
      <w:r w:rsidR="000A6C65">
        <w:t xml:space="preserve"> – DONE</w:t>
      </w:r>
      <w:bookmarkStart w:id="0" w:name="_GoBack"/>
      <w:bookmarkEnd w:id="0"/>
    </w:p>
    <w:p w:rsidR="00A328C2" w:rsidRDefault="00A328C2" w:rsidP="008A4328">
      <w:pPr>
        <w:pStyle w:val="ListParagraph"/>
        <w:numPr>
          <w:ilvl w:val="0"/>
          <w:numId w:val="1"/>
        </w:numPr>
      </w:pPr>
      <w:r>
        <w:t>READ text files (CSV, TSV, TXT) must be able to read UTF-8</w:t>
      </w:r>
      <w:r w:rsidR="008A396E">
        <w:t>.</w:t>
      </w:r>
    </w:p>
    <w:p w:rsidR="008A396E" w:rsidRDefault="008A396E" w:rsidP="008A4328">
      <w:pPr>
        <w:pStyle w:val="ListParagraph"/>
        <w:numPr>
          <w:ilvl w:val="0"/>
          <w:numId w:val="1"/>
        </w:numPr>
      </w:pPr>
      <w:r>
        <w:t>READ text files with multiple columns must be able to ignore blank lines.</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lastRenderedPageBreak/>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t>Must be able to associate each result with its request.  Therefore, allow copying one or more request parameter(s) to the result target.  This means not all request parameters need to be substituted into the web service request.</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Add new keyword NAME to TASK syntax as follows: TASK [[NAME] taskname]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“VerbNoun”.</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lastRenderedPageBreak/>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TaskSetParser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lastRenderedPageBreak/>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r>
        <w:t>CheckDbp</w:t>
      </w:r>
    </w:p>
    <w:p w:rsidR="003A6005" w:rsidRDefault="003A6005" w:rsidP="003A6005">
      <w:r>
        <w:t>Takes a RunDbp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r>
        <w:t>SrvWrap</w:t>
      </w:r>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r>
        <w:t>Serve</w:t>
      </w:r>
      <w:r w:rsidR="00D27CF0">
        <w:t>Dbp</w:t>
      </w:r>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RunDbp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r>
        <w:t>ManageDbp</w:t>
      </w:r>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This was formerly ControlDbp,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lastRenderedPageBreak/>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DatabaseConnection object.</w:t>
      </w:r>
      <w:r w:rsidR="00950C5D">
        <w:t xml:space="preserve"> – DONE</w:t>
      </w:r>
    </w:p>
    <w:p w:rsidR="00D27CF0" w:rsidRDefault="00D27CF0" w:rsidP="00D27CF0">
      <w:pPr>
        <w:pStyle w:val="ListParagraph"/>
        <w:numPr>
          <w:ilvl w:val="0"/>
          <w:numId w:val="6"/>
        </w:numPr>
      </w:pPr>
      <w:r>
        <w:t>The manager should use classic Java logging (e.g.,logback) for itself, but not for the scripts it runs.</w:t>
      </w:r>
    </w:p>
    <w:p w:rsidR="00A747FB" w:rsidRDefault="00A747FB" w:rsidP="00A747FB">
      <w:pPr>
        <w:pStyle w:val="Heading1"/>
      </w:pPr>
      <w:r>
        <w:t>ControlDbp To Do</w:t>
      </w:r>
    </w:p>
    <w:p w:rsidR="00D27CF0" w:rsidRPr="00D27CF0" w:rsidRDefault="00D27CF0" w:rsidP="00D27CF0">
      <w:r>
        <w:t>A command line program that talks via web service to ManageDbp.</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A6C65"/>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77ABD"/>
    <w:rsid w:val="00384820"/>
    <w:rsid w:val="00393B65"/>
    <w:rsid w:val="003A6005"/>
    <w:rsid w:val="003C208F"/>
    <w:rsid w:val="003C50A6"/>
    <w:rsid w:val="003F7BF6"/>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82997"/>
    <w:rsid w:val="008976D8"/>
    <w:rsid w:val="008A396E"/>
    <w:rsid w:val="008A4328"/>
    <w:rsid w:val="008A64B0"/>
    <w:rsid w:val="008E076F"/>
    <w:rsid w:val="0092510F"/>
    <w:rsid w:val="00925758"/>
    <w:rsid w:val="0094062F"/>
    <w:rsid w:val="00947EF0"/>
    <w:rsid w:val="00950C5D"/>
    <w:rsid w:val="0095128C"/>
    <w:rsid w:val="009555AA"/>
    <w:rsid w:val="00962C92"/>
    <w:rsid w:val="009A5C2D"/>
    <w:rsid w:val="009B7113"/>
    <w:rsid w:val="009E551B"/>
    <w:rsid w:val="00A02B42"/>
    <w:rsid w:val="00A07DCD"/>
    <w:rsid w:val="00A328C2"/>
    <w:rsid w:val="00A3291C"/>
    <w:rsid w:val="00A34532"/>
    <w:rsid w:val="00A350C7"/>
    <w:rsid w:val="00A37AB9"/>
    <w:rsid w:val="00A44745"/>
    <w:rsid w:val="00A4551C"/>
    <w:rsid w:val="00A45FB5"/>
    <w:rsid w:val="00A600CF"/>
    <w:rsid w:val="00A65518"/>
    <w:rsid w:val="00A731C4"/>
    <w:rsid w:val="00A747FB"/>
    <w:rsid w:val="00A7593D"/>
    <w:rsid w:val="00A85FEC"/>
    <w:rsid w:val="00A977BC"/>
    <w:rsid w:val="00AA3073"/>
    <w:rsid w:val="00AB2C81"/>
    <w:rsid w:val="00AC2AD3"/>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137B"/>
    <w:rsid w:val="00DA47C0"/>
    <w:rsid w:val="00DB1F1A"/>
    <w:rsid w:val="00DC6174"/>
    <w:rsid w:val="00DF29D2"/>
    <w:rsid w:val="00E03805"/>
    <w:rsid w:val="00E1008A"/>
    <w:rsid w:val="00E10627"/>
    <w:rsid w:val="00E3087F"/>
    <w:rsid w:val="00E62F44"/>
    <w:rsid w:val="00E66067"/>
    <w:rsid w:val="00E97672"/>
    <w:rsid w:val="00EA527B"/>
    <w:rsid w:val="00EA7A7D"/>
    <w:rsid w:val="00EB0901"/>
    <w:rsid w:val="00EC236C"/>
    <w:rsid w:val="00ED77D1"/>
    <w:rsid w:val="00EE3092"/>
    <w:rsid w:val="00F31038"/>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7F00"/>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6224</TotalTime>
  <Pages>6</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157</cp:revision>
  <dcterms:created xsi:type="dcterms:W3CDTF">2015-09-03T00:43:00Z</dcterms:created>
  <dcterms:modified xsi:type="dcterms:W3CDTF">2017-03-05T02:00:00Z</dcterms:modified>
</cp:coreProperties>
</file>