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000000"/>
          <w:sz w:val="36"/>
          <w:szCs w:val="36"/>
        </w:rPr>
        <w:t xml:space="preserve">Undo</w:t>
      </w:r>
      <w:r>
        <w:rPr>
          <w:rFonts w:ascii="Arial" w:cs="Arial" w:eastAsia="Arial" w:hAnsi="Arial"/>
          <w:color w:val="666666"/>
          <w:sz w:val="18"/>
          <w:szCs w:val="18"/>
        </w:rPr>
        <w:t xml:space="preserve">    Returns Infrastructure for DTC Brands</w:t>
      </w:r>
    </w:p>
    <w:p>
      <w:pPr>
        <w:spacing w:after="60"/>
      </w:pPr>
      <w:r>
        <w:rPr>
          <w:rFonts w:ascii="Arial" w:cs="Arial" w:eastAsia="Arial" w:hAnsi="Arial"/>
          <w:i/>
          <w:iCs/>
          <w:color w:val="666666"/>
          <w:sz w:val="17"/>
          <w:szCs w:val="17"/>
        </w:rPr>
        <w:t xml:space="preserve">Built by a founder with 7+ years in logistics infrastructure and $120M+ in fulfillment volume across China, US &amp; SE Asia.</w:t>
      </w:r>
    </w:p>
    <w:p>
      <w:pPr>
        <w:pBdr>
          <w:bottom w:val="single" w:color="000000" w:sz="6" w:space="1"/>
        </w:pBdr>
        <w:spacing w:after="200"/>
      </w:pPr>
    </w:p>
    <w:p>
      <w:pPr>
        <w:spacing w:after="100"/>
      </w:pPr>
      <w:r>
        <w:rPr>
          <w:rFonts w:ascii="Arial" w:cs="Arial" w:eastAsia="Arial" w:hAnsi="Arial"/>
          <w:b/>
          <w:bCs/>
          <w:color w:val="000000"/>
          <w:sz w:val="25"/>
          <w:szCs w:val="25"/>
        </w:rPr>
        <w:t xml:space="preserve">Every return costs you $21 and 2 weeks to resell. We bring that down to $4 and 2–4 days.</w:t>
      </w:r>
    </w:p>
    <w:p>
      <w:pPr>
        <w:spacing w:after="180"/>
      </w:pPr>
      <w:r>
        <w:rPr>
          <w:rFonts w:ascii="Arial" w:cs="Arial" w:eastAsia="Arial" w:hAnsi="Arial"/>
          <w:color w:val="333333"/>
          <w:sz w:val="19"/>
          <w:szCs w:val="19"/>
        </w:rPr>
        <w:t xml:space="preserve">Undo uses vision AI to let customers grade returns at home with 96% accuracy, then matches each item to the next buyer. It ships directly from the returner’s doorstep. No reverse shipping. No warehouse. No restocking. Items that don’t qualify flow through your existing process, unchanged.</w:t>
      </w:r>
    </w:p>
    <w:p>
      <w:pPr>
        <w:spacing w:after="120" w:before="20"/>
      </w:pPr>
      <w:r>
        <w:rPr>
          <w:rFonts w:ascii="Arial" w:cs="Arial" w:eastAsia="Arial" w:hAnsi="Arial"/>
          <w:b/>
          <w:bCs/>
          <w:color w:val="000000"/>
          <w:sz w:val="23"/>
          <w:szCs w:val="23"/>
        </w:rPr>
        <w:t xml:space="preserve">The math on your returns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2610"/>
        <w:gridCol w:w="2610"/>
      </w:tblGrid>
      <w:tr>
        <w:tc>
          <w:tcPr>
            <w:tcW w:type="dxa" w:w="522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pPr>
              <w:jc w:val="left"/>
            </w:pPr>
            <w:r>
              <w:rPr>
                <w:rFonts w:ascii="Arial" w:cs="Arial" w:eastAsia="Arial" w:hAnsi="Arial"/>
                <w:b/>
                <w:bCs/>
                <w:color w:val="FFFFFF"/>
                <w:sz w:val="17"/>
                <w:szCs w:val="17"/>
              </w:rPr>
              <w:t xml:space="preserve"/>
            </w:r>
          </w:p>
        </w:tc>
        <w:tc>
          <w:tcPr>
            <w:tcW w:type="dxa" w:w="261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Traditional</w:t>
            </w:r>
          </w:p>
        </w:tc>
        <w:tc>
          <w:tcPr>
            <w:tcW w:type="dxa" w:w="261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Undo</w:t>
            </w:r>
          </w:p>
        </w:tc>
      </w:tr>
      <w:tr>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Cost per return (shipping + processing)</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17"/>
                <w:szCs w:val="17"/>
              </w:rPr>
              <w:t xml:space="preserve">$21+</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7"/>
                <w:szCs w:val="17"/>
              </w:rPr>
              <w:t xml:space="preserve">$4</w:t>
            </w:r>
          </w:p>
        </w:tc>
      </w:tr>
      <w:tr>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7"/>
                <w:szCs w:val="17"/>
              </w:rPr>
              <w:t xml:space="preserve">Time to resell</w:t>
            </w:r>
          </w:p>
        </w:tc>
        <w:tc>
          <w:tcPr>
            <w:tcW w:type="dxa" w:w="2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666666"/>
                <w:sz w:val="17"/>
                <w:szCs w:val="17"/>
              </w:rPr>
              <w:t xml:space="preserve">2 weeks</w:t>
            </w:r>
          </w:p>
        </w:tc>
        <w:tc>
          <w:tcPr>
            <w:tcW w:type="dxa" w:w="2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7"/>
                <w:szCs w:val="17"/>
              </w:rPr>
              <w:t xml:space="preserve">2–4 days</w:t>
            </w:r>
          </w:p>
        </w:tc>
      </w:tr>
      <w:tr>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Grading accuracy</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17"/>
                <w:szCs w:val="17"/>
              </w:rPr>
              <w:t xml:space="preserve">~85% (manual, inconsistent)</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7"/>
                <w:szCs w:val="17"/>
              </w:rPr>
              <w:t xml:space="preserve">96% (AI + human review)</w:t>
            </w:r>
          </w:p>
        </w:tc>
      </w:tr>
      <w:tr>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7"/>
                <w:szCs w:val="17"/>
              </w:rPr>
              <w:t xml:space="preserve">Refund speed / customer experience</w:t>
            </w:r>
          </w:p>
        </w:tc>
        <w:tc>
          <w:tcPr>
            <w:tcW w:type="dxa" w:w="2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666666"/>
                <w:sz w:val="17"/>
                <w:szCs w:val="17"/>
              </w:rPr>
              <w:t xml:space="preserve">~2 weeks, high friction</w:t>
            </w:r>
          </w:p>
        </w:tc>
        <w:tc>
          <w:tcPr>
            <w:tcW w:type="dxa" w:w="2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7"/>
                <w:szCs w:val="17"/>
              </w:rPr>
              <w:t xml:space="preserve">~5 days, seamless</w:t>
            </w:r>
          </w:p>
        </w:tc>
      </w:tr>
      <w:tr>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Warehouse required</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666666"/>
                <w:sz w:val="17"/>
                <w:szCs w:val="17"/>
              </w:rPr>
              <w:t xml:space="preserve">Yes</w:t>
            </w:r>
          </w:p>
        </w:tc>
        <w:tc>
          <w:tcPr>
            <w:tcW w:type="dxa" w:w="26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7"/>
                <w:szCs w:val="17"/>
              </w:rPr>
              <w:t xml:space="preserve">No</w:t>
            </w:r>
          </w:p>
        </w:tc>
      </w:tr>
    </w:tbl>
    <w:p>
      <w:pPr>
        <w:spacing w:after="100" w:before="240"/>
      </w:pPr>
      <w:r>
        <w:rPr>
          <w:rFonts w:ascii="Arial" w:cs="Arial" w:eastAsia="Arial" w:hAnsi="Arial"/>
          <w:b/>
          <w:bCs/>
          <w:color w:val="000000"/>
          <w:sz w:val="23"/>
          <w:szCs w:val="23"/>
        </w:rPr>
        <w:t xml:space="preserve">Example: $10M DTC apparel brand</w:t>
      </w:r>
    </w:p>
    <w:p>
      <w:pPr>
        <w:spacing w:after="80"/>
      </w:pPr>
      <w:r>
        <w:rPr>
          <w:rFonts w:ascii="Arial" w:cs="Arial" w:eastAsia="Arial" w:hAnsi="Arial"/>
          <w:i/>
          <w:iCs/>
          <w:color w:val="666666"/>
          <w:sz w:val="16"/>
          <w:szCs w:val="16"/>
        </w:rPr>
        <w:t xml:space="preserve">Assumes ~$85 AOV, 25% return rate, ~2,450 returns/month. ~74% are Undo-eligible (intact, resellable condition). The rest flow through your current process.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200"/>
        <w:gridCol w:w="3240"/>
      </w:tblGrid>
      <w:tr>
        <w:tc>
          <w:tcPr>
            <w:tcW w:type="dxa" w:w="72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17"/>
                <w:szCs w:val="17"/>
              </w:rPr>
              <w:t xml:space="preserve">Value driver</w:t>
            </w:r>
          </w:p>
        </w:tc>
        <w:tc>
          <w:tcPr>
            <w:tcW w:type="dxa" w:w="324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pPr>
              <w:jc w:val="right"/>
            </w:pPr>
            <w:r>
              <w:rPr>
                <w:rFonts w:ascii="Arial" w:cs="Arial" w:eastAsia="Arial" w:hAnsi="Arial"/>
                <w:b/>
                <w:bCs/>
                <w:color w:val="FFFFFF"/>
                <w:sz w:val="17"/>
                <w:szCs w:val="17"/>
              </w:rPr>
              <w:t xml:space="preserve">Annual impact</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Processing cost savings ($21 → $4 on eligible returns)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000000"/>
                <w:sz w:val="17"/>
                <w:szCs w:val="17"/>
              </w:rPr>
              <w:t xml:space="preserve">~$196,000</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7"/>
                <w:szCs w:val="17"/>
              </w:rPr>
              <w:t xml:space="preserve">Value recovered on items you’d otherwise liquidate or write off</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17"/>
                <w:szCs w:val="17"/>
              </w:rPr>
              <w:t xml:space="preserve">~$110,000+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Reduced depreciation from faster re-listing + freed working capital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000000"/>
                <w:sz w:val="17"/>
                <w:szCs w:val="17"/>
              </w:rPr>
              <w:t xml:space="preserve">Varies by season</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Total quantifiable annual savings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00000"/>
                <w:sz w:val="17"/>
                <w:szCs w:val="17"/>
              </w:rPr>
              <w:t xml:space="preserve">~$580,000+</w:t>
            </w:r>
          </w:p>
        </w:tc>
      </w:tr>
    </w:tbl>
    <w:p>
      <w:pPr>
        <w:spacing w:after="120" w:before="240"/>
      </w:pPr>
      <w:r>
        <w:rPr>
          <w:rFonts w:ascii="Arial" w:cs="Arial" w:eastAsia="Arial" w:hAnsi="Arial"/>
          <w:b/>
          <w:bCs/>
          <w:color w:val="000000"/>
          <w:sz w:val="23"/>
          <w:szCs w:val="23"/>
        </w:rPr>
        <w:t xml:space="preserve">How it works</w:t>
      </w:r>
    </w:p>
    <w:p>
      <w:pPr>
        <w:pStyle w:val="ListParagraph"/>
        <w:numPr>
          <w:ilvl w:val="0"/>
          <w:numId w:val="2"/>
        </w:numPr>
        <w:spacing w:after="50"/>
      </w:pPr>
      <w:r>
        <w:rPr>
          <w:rFonts w:ascii="Arial" w:cs="Arial" w:eastAsia="Arial" w:hAnsi="Arial"/>
          <w:b/>
          <w:bCs/>
          <w:sz w:val="19"/>
          <w:szCs w:val="19"/>
        </w:rPr>
        <w:t xml:space="preserve">Customer initiates a return. </w:t>
      </w:r>
      <w:r>
        <w:rPr>
          <w:rFonts w:ascii="Arial" w:cs="Arial" w:eastAsia="Arial" w:hAnsi="Arial"/>
          <w:color w:val="333333"/>
          <w:sz w:val="19"/>
          <w:szCs w:val="19"/>
        </w:rPr>
        <w:t xml:space="preserve">Your existing flow stays the same.</w:t>
      </w:r>
    </w:p>
    <w:p>
      <w:pPr>
        <w:pStyle w:val="ListParagraph"/>
        <w:numPr>
          <w:ilvl w:val="0"/>
          <w:numId w:val="2"/>
        </w:numPr>
        <w:spacing w:after="50"/>
      </w:pPr>
      <w:r>
        <w:rPr>
          <w:rFonts w:ascii="Arial" w:cs="Arial" w:eastAsia="Arial" w:hAnsi="Arial"/>
          <w:b/>
          <w:bCs/>
          <w:sz w:val="19"/>
          <w:szCs w:val="19"/>
        </w:rPr>
        <w:t xml:space="preserve">AI grades the item at home. </w:t>
      </w:r>
      <w:r>
        <w:rPr>
          <w:rFonts w:ascii="Arial" w:cs="Arial" w:eastAsia="Arial" w:hAnsi="Arial"/>
          <w:color w:val="333333"/>
          <w:sz w:val="19"/>
          <w:szCs w:val="19"/>
        </w:rPr>
        <w:t xml:space="preserve">Customer records a short video. AI verifies condition in seconds. Item is re-listed instantly.</w:t>
      </w:r>
    </w:p>
    <w:p>
      <w:pPr>
        <w:pStyle w:val="ListParagraph"/>
        <w:numPr>
          <w:ilvl w:val="0"/>
          <w:numId w:val="2"/>
        </w:numPr>
        <w:spacing w:after="50"/>
      </w:pPr>
      <w:r>
        <w:rPr>
          <w:rFonts w:ascii="Arial" w:cs="Arial" w:eastAsia="Arial" w:hAnsi="Arial"/>
          <w:b/>
          <w:bCs/>
          <w:sz w:val="19"/>
          <w:szCs w:val="19"/>
        </w:rPr>
        <w:t xml:space="preserve">Next buyer purchases, item ships direct. </w:t>
      </w:r>
      <w:r>
        <w:rPr>
          <w:rFonts w:ascii="Arial" w:cs="Arial" w:eastAsia="Arial" w:hAnsi="Arial"/>
          <w:color w:val="333333"/>
          <w:sz w:val="19"/>
          <w:szCs w:val="19"/>
        </w:rPr>
        <w:t xml:space="preserve">No reverse shipping. No warehouse stop. Customer to customer.</w:t>
      </w:r>
    </w:p>
    <w:p>
      <w:pPr>
        <w:spacing w:after="40"/>
      </w:pPr>
      <w:r>
        <w:rPr>
          <w:rFonts w:ascii="Arial" w:cs="Arial" w:eastAsia="Arial" w:hAnsi="Arial"/>
          <w:i/>
          <w:iCs/>
          <w:color w:val="333333"/>
          <w:sz w:val="18"/>
          <w:szCs w:val="18"/>
        </w:rPr>
        <w:t xml:space="preserve">Integration: Shopify app install. Live in under an hour. No changes to your existing returns setup.</w:t>
      </w:r>
    </w:p>
    <w:p>
      <w:pPr>
        <w:spacing w:after="100" w:before="200"/>
      </w:pPr>
      <w:r>
        <w:rPr>
          <w:rFonts w:ascii="Arial" w:cs="Arial" w:eastAsia="Arial" w:hAnsi="Arial"/>
          <w:b/>
          <w:bCs/>
          <w:color w:val="000000"/>
          <w:sz w:val="23"/>
          <w:szCs w:val="23"/>
        </w:rPr>
        <w:t xml:space="preserve">Built for</w:t>
      </w:r>
    </w:p>
    <w:p>
      <w:pPr>
        <w:pStyle w:val="ListParagraph"/>
        <w:numPr>
          <w:ilvl w:val="0"/>
          <w:numId w:val="3"/>
        </w:numPr>
        <w:spacing w:after="40"/>
      </w:pPr>
      <w:r>
        <w:rPr>
          <w:rFonts w:ascii="Arial" w:cs="Arial" w:eastAsia="Arial" w:hAnsi="Arial"/>
          <w:sz w:val="19"/>
          <w:szCs w:val="19"/>
        </w:rPr>
        <w:t xml:space="preserve">DTC brands on Shopify processing 150+ returns/month</w:t>
      </w:r>
    </w:p>
    <w:p>
      <w:pPr>
        <w:pStyle w:val="ListParagraph"/>
        <w:numPr>
          <w:ilvl w:val="0"/>
          <w:numId w:val="3"/>
        </w:numPr>
        <w:spacing w:after="40"/>
      </w:pPr>
      <w:r>
        <w:rPr>
          <w:rFonts w:ascii="Arial" w:cs="Arial" w:eastAsia="Arial" w:hAnsi="Arial"/>
          <w:sz w:val="19"/>
          <w:szCs w:val="19"/>
        </w:rPr>
        <w:t xml:space="preserve">Apparel, footwear, and accessories</w:t>
      </w:r>
    </w:p>
    <w:p>
      <w:pPr>
        <w:pStyle w:val="ListParagraph"/>
        <w:numPr>
          <w:ilvl w:val="0"/>
          <w:numId w:val="3"/>
        </w:numPr>
        <w:spacing w:after="40"/>
      </w:pPr>
      <w:r>
        <w:rPr>
          <w:rFonts w:ascii="Arial" w:cs="Arial" w:eastAsia="Arial" w:hAnsi="Arial"/>
          <w:sz w:val="19"/>
          <w:szCs w:val="19"/>
        </w:rPr>
        <w:t xml:space="preserve">Currently onboarding a limited number of brands for early access</w:t>
      </w:r>
    </w:p>
    <w:p>
      <w:pPr>
        <w:pBdr>
          <w:top w:val="single" w:color="000000" w:sz="6" w:space="1"/>
        </w:pBdr>
        <w:spacing w:after="0" w:before="200"/>
      </w:pPr>
    </w:p>
    <w:p>
      <w:pPr>
        <w:spacing w:after="60" w:before="160"/>
      </w:pPr>
      <w:r>
        <w:rPr>
          <w:rFonts w:ascii="Arial" w:cs="Arial" w:eastAsia="Arial" w:hAnsi="Arial"/>
          <w:b/>
          <w:bCs/>
          <w:color w:val="000000"/>
          <w:sz w:val="21"/>
          <w:szCs w:val="21"/>
        </w:rPr>
        <w:t xml:space="preserve">We’ll model your exact returns economics on a 20-min call.</w:t>
      </w:r>
    </w:p>
    <w:p>
      <w:pPr>
        <w:spacing w:after="40"/>
      </w:pPr>
      <w:r>
        <w:rPr>
          <w:rFonts w:ascii="Arial" w:cs="Arial" w:eastAsia="Arial" w:hAnsi="Arial"/>
          <w:color w:val="333333"/>
          <w:sz w:val="19"/>
          <w:szCs w:val="19"/>
        </w:rPr>
        <w:t xml:space="preserve">Book a call:  </w:t>
      </w:r>
      <w:hyperlink w:history="1" r:id="rIdvgb3msjl07yznr3vqu4gk">
        <w:r>
          <w:rPr>
            <w:rFonts w:ascii="Arial" w:cs="Arial" w:eastAsia="Arial" w:hAnsi="Arial"/>
            <w:b/>
            <w:bCs/>
            <w:color w:val="000000"/>
            <w:sz w:val="19"/>
            <w:szCs w:val="19"/>
            <w:u w:val="single"/>
          </w:rPr>
          <w:t xml:space="preserve">calendly.com/rdevnath/20min</w:t>
        </w:r>
      </w:hyperlink>
    </w:p>
    <w:p>
      <w:pPr>
        <w:spacing w:after="40"/>
      </w:pPr>
      <w:r>
        <w:rPr>
          <w:rFonts w:ascii="Arial" w:cs="Arial" w:eastAsia="Arial" w:hAnsi="Arial"/>
          <w:color w:val="333333"/>
          <w:sz w:val="19"/>
          <w:szCs w:val="19"/>
        </w:rPr>
        <w:t xml:space="preserve">Email:  </w:t>
      </w:r>
      <w:hyperlink w:history="1" r:id="rIdz5gyswdzv3k1ezox4sp1j">
        <w:r>
          <w:rPr>
            <w:rFonts w:ascii="Arial" w:cs="Arial" w:eastAsia="Arial" w:hAnsi="Arial"/>
            <w:b/>
            <w:bCs/>
            <w:color w:val="000000"/>
            <w:sz w:val="19"/>
            <w:szCs w:val="19"/>
            <w:u w:val="single"/>
          </w:rPr>
          <w:t xml:space="preserve">rajan@withundo.com</w:t>
        </w:r>
      </w:hyperlink>
    </w:p>
    <w:p>
      <w:pPr>
        <w:spacing w:before="40"/>
      </w:pPr>
      <w:r>
        <w:rPr>
          <w:rFonts w:ascii="Arial" w:cs="Arial" w:eastAsia="Arial" w:hAnsi="Arial"/>
          <w:b/>
          <w:bCs/>
          <w:color w:val="000000"/>
          <w:sz w:val="17"/>
          <w:szCs w:val="17"/>
        </w:rPr>
        <w:t xml:space="preserve">Rajan Devnath, Founder  </w:t>
      </w:r>
      <w:r>
        <w:rPr>
          <w:rFonts w:ascii="Arial" w:cs="Arial" w:eastAsia="Arial" w:hAnsi="Arial"/>
          <w:color w:val="CCCCCC"/>
          <w:sz w:val="17"/>
          <w:szCs w:val="17"/>
        </w:rPr>
        <w:t xml:space="preserve">|  </w:t>
      </w:r>
      <w:hyperlink w:history="1" r:id="rIdicuvyc2aciz7ocv1q9rxx">
        <w:r>
          <w:rPr>
            <w:rFonts w:ascii="Arial" w:cs="Arial" w:eastAsia="Arial" w:hAnsi="Arial"/>
            <w:color w:val="000000"/>
            <w:sz w:val="17"/>
            <w:szCs w:val="17"/>
            <w:u w:val="single"/>
          </w:rPr>
          <w:t xml:space="preserve">withundo.com</w:t>
        </w:r>
      </w:hyperlink>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vgb3msjl07yznr3vqu4gk" Type="http://schemas.openxmlformats.org/officeDocument/2006/relationships/hyperlink" Target="https://calendly.com/rdevnath/20min" TargetMode="External"/>
  <Relationship Id="rIdz5gyswdzv3k1ezox4sp1j" Type="http://schemas.openxmlformats.org/officeDocument/2006/relationships/hyperlink" Target="mailto:rajan@withundo.com" TargetMode="External"/>
  <Relationship Id="rIdicuvyc2aciz7ocv1q9rxx" Type="http://schemas.openxmlformats.org/officeDocument/2006/relationships/hyperlink" Target="https://withundo.com" TargetMode="External"/>
  <Relationship Id="rId10"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2026-03-09T23:13:11.087Z</dcterms:created>
  <dcterms:modified xsi:type="dcterms:W3CDTF">2026-03-09T23:13:11.088Z</dcterms:modified>
</cp:coreProperties>
</file>

<file path=docProps/custom.xml><?xml version="1.0" encoding="utf-8"?>
<Properties xmlns="http://schemas.openxmlformats.org/officeDocument/2006/custom-properties" xmlns:vt="http://schemas.openxmlformats.org/officeDocument/2006/docPropsVTypes"/>
</file>