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7A749" w14:textId="77777777" w:rsidR="00DC1529" w:rsidRPr="00DC1529" w:rsidRDefault="00DC1529" w:rsidP="00DC1529">
      <w:pPr>
        <w:rPr>
          <w:b/>
          <w:bCs/>
        </w:rPr>
      </w:pPr>
      <w:r w:rsidRPr="00DC1529">
        <w:rPr>
          <w:b/>
          <w:bCs/>
        </w:rPr>
        <w:t>3.3 Core Features Implementation</w:t>
      </w:r>
    </w:p>
    <w:tbl>
      <w:tblPr>
        <w:tblpPr w:leftFromText="180" w:rightFromText="180" w:horzAnchor="margin" w:tblpY="1512"/>
        <w:tblW w:w="81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934"/>
      </w:tblGrid>
      <w:tr w:rsidR="00DC1529" w:rsidRPr="00DC1529" w14:paraId="3CF300E3" w14:textId="77777777" w:rsidTr="003143B3">
        <w:trPr>
          <w:trHeight w:val="49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3594B06" w14:textId="77777777" w:rsidR="00DC1529" w:rsidRPr="00DC1529" w:rsidRDefault="00DC1529" w:rsidP="00DC1529">
            <w:pPr>
              <w:rPr>
                <w:b/>
                <w:bCs/>
              </w:rPr>
            </w:pPr>
            <w:r w:rsidRPr="00DC1529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0052A" w14:textId="77777777" w:rsidR="00DC1529" w:rsidRPr="00DC1529" w:rsidRDefault="00DC1529" w:rsidP="00DC1529">
            <w:pPr>
              <w:rPr>
                <w:b/>
                <w:bCs/>
              </w:rPr>
            </w:pPr>
            <w:r w:rsidRPr="00DC1529">
              <w:rPr>
                <w:b/>
                <w:bCs/>
              </w:rPr>
              <w:t>Description</w:t>
            </w:r>
          </w:p>
        </w:tc>
      </w:tr>
      <w:tr w:rsidR="00DC1529" w:rsidRPr="00DC1529" w14:paraId="34B7AF4A" w14:textId="77777777" w:rsidTr="003143B3">
        <w:trPr>
          <w:trHeight w:val="4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175DC21" w14:textId="77777777" w:rsidR="00DC1529" w:rsidRPr="00DC1529" w:rsidRDefault="00DC1529" w:rsidP="00DC1529">
            <w:r w:rsidRPr="00DC1529">
              <w:t>IPO Eligibility Checker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8ACBC2" w14:textId="77777777" w:rsidR="00DC1529" w:rsidRPr="00DC1529" w:rsidRDefault="00DC1529" w:rsidP="00DC1529">
            <w:r w:rsidRPr="00DC1529">
              <w:t>Checks financial, regulatory, and legal requirements</w:t>
            </w:r>
          </w:p>
        </w:tc>
      </w:tr>
      <w:tr w:rsidR="00DC1529" w:rsidRPr="00DC1529" w14:paraId="0A2A76EF" w14:textId="77777777" w:rsidTr="003143B3">
        <w:trPr>
          <w:trHeight w:val="496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5CC6D3F" w14:textId="77777777" w:rsidR="00DC1529" w:rsidRPr="00DC1529" w:rsidRDefault="00DC1529" w:rsidP="00DC1529">
            <w:r w:rsidRPr="00DC1529">
              <w:t>Document Checklist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87C8AE" w14:textId="77777777" w:rsidR="00DC1529" w:rsidRPr="00DC1529" w:rsidRDefault="00DC1529" w:rsidP="00DC1529">
            <w:r w:rsidRPr="00DC1529">
              <w:t>Provides a list of required IPO documents with status tracking</w:t>
            </w:r>
          </w:p>
        </w:tc>
      </w:tr>
      <w:tr w:rsidR="00DC1529" w:rsidRPr="00DC1529" w14:paraId="15555B58" w14:textId="77777777" w:rsidTr="003143B3">
        <w:trPr>
          <w:trHeight w:val="512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A215963" w14:textId="77777777" w:rsidR="00DC1529" w:rsidRPr="00DC1529" w:rsidRDefault="00DC1529" w:rsidP="00DC1529">
            <w:r w:rsidRPr="00DC1529">
              <w:t>Compliance Tracker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6EE50A" w14:textId="77777777" w:rsidR="00DC1529" w:rsidRPr="00DC1529" w:rsidRDefault="00DC1529" w:rsidP="00DC1529">
            <w:r w:rsidRPr="00DC1529">
              <w:t>Alerts for SEBI, MCA, ROC, and stock exchange filings</w:t>
            </w:r>
          </w:p>
        </w:tc>
      </w:tr>
      <w:tr w:rsidR="00DC1529" w:rsidRPr="00DC1529" w14:paraId="4841686C" w14:textId="77777777" w:rsidTr="003143B3">
        <w:trPr>
          <w:trHeight w:val="496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69E06FB" w14:textId="77777777" w:rsidR="00DC1529" w:rsidRPr="00DC1529" w:rsidRDefault="00DC1529" w:rsidP="00DC1529">
            <w:r w:rsidRPr="00DC1529">
              <w:t>Financial Analysis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E6DA6" w14:textId="77777777" w:rsidR="00DC1529" w:rsidRPr="00DC1529" w:rsidRDefault="00DC1529" w:rsidP="00DC1529">
            <w:r w:rsidRPr="00DC1529">
              <w:t>AI-powered evaluation of SME’s financial readiness</w:t>
            </w:r>
          </w:p>
        </w:tc>
      </w:tr>
      <w:tr w:rsidR="00DC1529" w:rsidRPr="00DC1529" w14:paraId="22D726CD" w14:textId="77777777" w:rsidTr="003143B3">
        <w:trPr>
          <w:trHeight w:val="496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04FDF76" w14:textId="77777777" w:rsidR="00DC1529" w:rsidRPr="00DC1529" w:rsidRDefault="00DC1529" w:rsidP="00DC1529">
            <w:r w:rsidRPr="00DC1529">
              <w:t>Task Manager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3C7EBE" w14:textId="77777777" w:rsidR="00DC1529" w:rsidRPr="00DC1529" w:rsidRDefault="00DC1529" w:rsidP="00DC1529">
            <w:r w:rsidRPr="00DC1529">
              <w:t>Timeline and deadline tracking for IPO milestones</w:t>
            </w:r>
          </w:p>
        </w:tc>
      </w:tr>
      <w:tr w:rsidR="00DC1529" w:rsidRPr="00DC1529" w14:paraId="4F66A5A1" w14:textId="77777777" w:rsidTr="003143B3">
        <w:trPr>
          <w:trHeight w:val="496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2F84FE7" w14:textId="77777777" w:rsidR="00DC1529" w:rsidRPr="00DC1529" w:rsidRDefault="00DC1529" w:rsidP="00DC1529">
            <w:r w:rsidRPr="00DC1529">
              <w:t>Cost Estimator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1E2B0E" w14:textId="77777777" w:rsidR="00DC1529" w:rsidRPr="00DC1529" w:rsidRDefault="00DC1529" w:rsidP="00DC1529">
            <w:r w:rsidRPr="00DC1529">
              <w:t>Estimates expenses like merchant banker, legal fees, etc.</w:t>
            </w:r>
          </w:p>
        </w:tc>
      </w:tr>
      <w:tr w:rsidR="00DC1529" w:rsidRPr="00DC1529" w14:paraId="27797657" w14:textId="77777777" w:rsidTr="003143B3">
        <w:trPr>
          <w:trHeight w:val="49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ED00E8" w14:textId="77777777" w:rsidR="00DC1529" w:rsidRPr="00DC1529" w:rsidRDefault="00DC1529" w:rsidP="00DC1529">
            <w:r w:rsidRPr="00DC1529">
              <w:t>Regulatory Integration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A1F1" w14:textId="77777777" w:rsidR="00DC1529" w:rsidRPr="00DC1529" w:rsidRDefault="00DC1529" w:rsidP="00DC1529">
            <w:r w:rsidRPr="00DC1529">
              <w:t>API links to SEBI, BSE, NSE, and MCA portals</w:t>
            </w:r>
          </w:p>
        </w:tc>
      </w:tr>
    </w:tbl>
    <w:p w14:paraId="73535C8B" w14:textId="77777777" w:rsidR="00E62C2E" w:rsidRDefault="00E62C2E"/>
    <w:p w14:paraId="548CAF47" w14:textId="77777777" w:rsidR="00D8235F" w:rsidRPr="00D8235F" w:rsidRDefault="00D8235F" w:rsidP="00D8235F"/>
    <w:p w14:paraId="403464E7" w14:textId="77777777" w:rsidR="00D8235F" w:rsidRPr="00D8235F" w:rsidRDefault="00D8235F" w:rsidP="00D8235F"/>
    <w:p w14:paraId="39EBE471" w14:textId="77777777" w:rsidR="00D8235F" w:rsidRPr="00D8235F" w:rsidRDefault="00D8235F" w:rsidP="00D8235F"/>
    <w:p w14:paraId="1E96A45D" w14:textId="77777777" w:rsidR="00D8235F" w:rsidRPr="00D8235F" w:rsidRDefault="00D8235F" w:rsidP="00D8235F"/>
    <w:p w14:paraId="027B728C" w14:textId="77777777" w:rsidR="00D8235F" w:rsidRPr="00D8235F" w:rsidRDefault="00D8235F" w:rsidP="00D8235F"/>
    <w:p w14:paraId="18800118" w14:textId="77777777" w:rsidR="00D8235F" w:rsidRPr="00D8235F" w:rsidRDefault="00D8235F" w:rsidP="00D8235F"/>
    <w:p w14:paraId="59827DF2" w14:textId="77777777" w:rsidR="00D8235F" w:rsidRPr="00D8235F" w:rsidRDefault="00D8235F" w:rsidP="00D8235F"/>
    <w:p w14:paraId="26E72479" w14:textId="77777777" w:rsidR="00D8235F" w:rsidRPr="00D8235F" w:rsidRDefault="00D8235F" w:rsidP="00D8235F"/>
    <w:p w14:paraId="16D88F2C" w14:textId="77777777" w:rsidR="00D8235F" w:rsidRPr="00D8235F" w:rsidRDefault="00D8235F" w:rsidP="00D8235F"/>
    <w:p w14:paraId="4FDB522D" w14:textId="77777777" w:rsidR="00D8235F" w:rsidRPr="00D8235F" w:rsidRDefault="00D8235F" w:rsidP="00D8235F"/>
    <w:p w14:paraId="2A4571A8" w14:textId="77777777" w:rsidR="00D8235F" w:rsidRPr="00D8235F" w:rsidRDefault="00D8235F" w:rsidP="00D8235F"/>
    <w:p w14:paraId="6039EAAA" w14:textId="77777777" w:rsidR="00D8235F" w:rsidRDefault="00D8235F" w:rsidP="00D8235F">
      <w:pPr>
        <w:jc w:val="center"/>
      </w:pPr>
    </w:p>
    <w:p w14:paraId="1225EC02" w14:textId="77777777" w:rsidR="00D8235F" w:rsidRDefault="00D8235F" w:rsidP="00D8235F">
      <w:pPr>
        <w:jc w:val="center"/>
      </w:pPr>
    </w:p>
    <w:p w14:paraId="33340182" w14:textId="77777777" w:rsidR="00D8235F" w:rsidRDefault="00D8235F" w:rsidP="00D8235F">
      <w:pPr>
        <w:jc w:val="center"/>
      </w:pPr>
    </w:p>
    <w:p w14:paraId="176325DB" w14:textId="77777777" w:rsidR="00D8235F" w:rsidRDefault="00D8235F" w:rsidP="00D8235F">
      <w:pPr>
        <w:jc w:val="center"/>
      </w:pPr>
    </w:p>
    <w:p w14:paraId="378B0DB6" w14:textId="77777777" w:rsidR="00D8235F" w:rsidRDefault="00D8235F" w:rsidP="00D8235F">
      <w:pPr>
        <w:jc w:val="center"/>
      </w:pPr>
    </w:p>
    <w:p w14:paraId="6275FF95" w14:textId="77777777" w:rsidR="00D8235F" w:rsidRDefault="00D8235F" w:rsidP="00D8235F">
      <w:pPr>
        <w:jc w:val="center"/>
      </w:pPr>
    </w:p>
    <w:p w14:paraId="6060DFCB" w14:textId="77777777" w:rsidR="00D8235F" w:rsidRDefault="00D8235F" w:rsidP="00D8235F">
      <w:pPr>
        <w:jc w:val="center"/>
      </w:pPr>
    </w:p>
    <w:p w14:paraId="7A779562" w14:textId="77777777" w:rsidR="00D8235F" w:rsidRDefault="00D8235F" w:rsidP="00D8235F">
      <w:pPr>
        <w:jc w:val="center"/>
      </w:pPr>
    </w:p>
    <w:p w14:paraId="2A6A88AB" w14:textId="77777777" w:rsidR="003143B3" w:rsidRDefault="003143B3" w:rsidP="00D8235F">
      <w:pPr>
        <w:jc w:val="center"/>
      </w:pPr>
    </w:p>
    <w:p w14:paraId="17D2C733" w14:textId="77777777" w:rsidR="003143B3" w:rsidRDefault="003143B3" w:rsidP="00D8235F">
      <w:pPr>
        <w:jc w:val="center"/>
      </w:pPr>
    </w:p>
    <w:p w14:paraId="440F0AD3" w14:textId="77777777" w:rsidR="003143B3" w:rsidRDefault="003143B3" w:rsidP="00D8235F">
      <w:pPr>
        <w:jc w:val="center"/>
      </w:pPr>
    </w:p>
    <w:p w14:paraId="13C3EB66" w14:textId="77777777" w:rsidR="003143B3" w:rsidRDefault="003143B3" w:rsidP="00D8235F">
      <w:pPr>
        <w:jc w:val="center"/>
      </w:pPr>
    </w:p>
    <w:p w14:paraId="199EC6BD" w14:textId="77777777" w:rsidR="003143B3" w:rsidRDefault="003143B3" w:rsidP="00D8235F">
      <w:pPr>
        <w:jc w:val="center"/>
      </w:pPr>
    </w:p>
    <w:p w14:paraId="1EDFFDF6" w14:textId="77777777" w:rsidR="003143B3" w:rsidRDefault="003143B3" w:rsidP="00D8235F">
      <w:pPr>
        <w:jc w:val="center"/>
      </w:pPr>
    </w:p>
    <w:p w14:paraId="28C666DD" w14:textId="77777777" w:rsidR="00D8235F" w:rsidRDefault="00D8235F" w:rsidP="00D8235F">
      <w:pPr>
        <w:jc w:val="center"/>
      </w:pPr>
    </w:p>
    <w:p w14:paraId="6477ED7E" w14:textId="77777777" w:rsidR="00D8235F" w:rsidRDefault="00D8235F" w:rsidP="00D8235F">
      <w:pPr>
        <w:jc w:val="center"/>
      </w:pPr>
    </w:p>
    <w:p w14:paraId="6F3E06C7" w14:textId="77777777" w:rsidR="00D8235F" w:rsidRDefault="00D8235F" w:rsidP="00D8235F">
      <w:pPr>
        <w:jc w:val="center"/>
      </w:pPr>
    </w:p>
    <w:p w14:paraId="6C57AF5E" w14:textId="77777777" w:rsidR="00D8235F" w:rsidRPr="003143B3" w:rsidRDefault="00D8235F" w:rsidP="00D8235F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43B3" w:rsidRPr="003143B3" w14:paraId="4AA04508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1119"/>
            </w:tblGrid>
            <w:tr w:rsidR="003143B3" w:rsidRPr="003143B3" w14:paraId="386508A1" w14:textId="77777777" w:rsidTr="003F77A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2E8A7" w14:textId="77777777" w:rsidR="003143B3" w:rsidRPr="003143B3" w:rsidRDefault="003143B3" w:rsidP="003F77AD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lastRenderedPageBreak/>
                    <w:t>Parameter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940A89" w14:textId="77777777" w:rsidR="003143B3" w:rsidRPr="003143B3" w:rsidRDefault="003143B3" w:rsidP="003F77AD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Listing Criterion</w:t>
                  </w:r>
                </w:p>
              </w:tc>
            </w:tr>
          </w:tbl>
          <w:p w14:paraId="1708E0AF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172E6B02" w14:textId="77777777" w:rsidTr="003143B3">
        <w:tc>
          <w:tcPr>
            <w:tcW w:w="9016" w:type="dxa"/>
          </w:tcPr>
          <w:tbl>
            <w:tblPr>
              <w:tblW w:w="88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7479"/>
            </w:tblGrid>
            <w:tr w:rsidR="003143B3" w:rsidRPr="003143B3" w14:paraId="44525F29" w14:textId="77777777" w:rsidTr="003143B3">
              <w:trPr>
                <w:tblCellSpacing w:w="15" w:type="dxa"/>
              </w:trPr>
              <w:tc>
                <w:tcPr>
                  <w:tcW w:w="1371" w:type="dxa"/>
                  <w:vAlign w:val="center"/>
                  <w:hideMark/>
                </w:tcPr>
                <w:p w14:paraId="01852B3D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Incorporation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862C7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>The Issuer should be a company incorporated under the Companies Act 1956 / 2013 in India.</w:t>
                  </w:r>
                </w:p>
              </w:tc>
            </w:tr>
          </w:tbl>
          <w:p w14:paraId="27197872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4F586074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  <w:gridCol w:w="5619"/>
            </w:tblGrid>
            <w:tr w:rsidR="003143B3" w:rsidRPr="003143B3" w14:paraId="4EF18B6D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BEB0A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Post Issue Paid-Up Capital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4CB21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>The post-issue paid-up capital of the company (face value) shall not exceed ₹25 crore.</w:t>
                  </w:r>
                </w:p>
              </w:tc>
            </w:tr>
          </w:tbl>
          <w:p w14:paraId="237EB7A8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1415642F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7963"/>
            </w:tblGrid>
            <w:tr w:rsidR="003143B3" w:rsidRPr="003143B3" w14:paraId="48374286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9135E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Track Record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ACBB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 xml:space="preserve">The company must have a track record of at least three years in one of the following ways: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1. The applicant company itself.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2. The promoters or promoting company (incorporated in or outside India).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3. A Proprietary/Partnership firm that was converted into a company (if not in existence as a company for three years). </w:t>
                  </w:r>
                  <w:r w:rsidRPr="003143B3">
                    <w:rPr>
                      <w:sz w:val="16"/>
                      <w:szCs w:val="16"/>
                    </w:rPr>
                    <w:br/>
                  </w:r>
                  <w:r w:rsidRPr="003143B3">
                    <w:rPr>
                      <w:b/>
                      <w:bCs/>
                      <w:sz w:val="16"/>
                      <w:szCs w:val="16"/>
                    </w:rPr>
                    <w:t>Promoter Criteria:</w:t>
                  </w:r>
                  <w:r w:rsidRPr="003143B3">
                    <w:rPr>
                      <w:sz w:val="16"/>
                      <w:szCs w:val="16"/>
                    </w:rPr>
                    <w:t xml:space="preserve"> Must have at least three years of experience in the same business line and hold at least 20% of the post-issue equity share capital.</w:t>
                  </w:r>
                </w:p>
              </w:tc>
            </w:tr>
          </w:tbl>
          <w:p w14:paraId="0AFFD830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252A2B90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  <w:gridCol w:w="7217"/>
            </w:tblGrid>
            <w:tr w:rsidR="003143B3" w:rsidRPr="003143B3" w14:paraId="37F73FD7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12223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Financial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76200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 xml:space="preserve">1. The issuer must have an operating profit (EBITDA) of at least ₹1 crore in at least two of the last three financial years.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2. The company should have a positive net worth. </w:t>
                  </w:r>
                  <w:r w:rsidRPr="003143B3">
                    <w:rPr>
                      <w:sz w:val="16"/>
                      <w:szCs w:val="16"/>
                    </w:rPr>
                    <w:br/>
                    <w:t>3. Positive Free Cash Flow to Equity (FCFE) in at least two of the last three financial years.</w:t>
                  </w:r>
                </w:p>
              </w:tc>
            </w:tr>
          </w:tbl>
          <w:p w14:paraId="2358EA88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2BFD3E7C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  <w:gridCol w:w="6508"/>
            </w:tblGrid>
            <w:tr w:rsidR="003143B3" w:rsidRPr="003143B3" w14:paraId="746CB5FA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60A14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Offer for Sale (OFS)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D8824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 xml:space="preserve">1. Offer for sale by selling shareholders in an SME IPO should not exceed 20% of the total issue size. </w:t>
                  </w:r>
                  <w:r w:rsidRPr="003143B3">
                    <w:rPr>
                      <w:sz w:val="16"/>
                      <w:szCs w:val="16"/>
                    </w:rPr>
                    <w:br/>
                    <w:t>2. Selling shareholders cannot sell more than 50% of their holding.</w:t>
                  </w:r>
                </w:p>
              </w:tc>
            </w:tr>
          </w:tbl>
          <w:p w14:paraId="098E1D0D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3E916C35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7354"/>
            </w:tblGrid>
            <w:tr w:rsidR="003143B3" w:rsidRPr="003143B3" w14:paraId="6AD7E8F5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2EED1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Other Listing Conditions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0A49C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 xml:space="preserve">1. The company must not have been referred to the erstwhile Board for Industrial and Financial Reconstruction (BIFR).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2. No ongoing proceedings under the Insolvency and Bankruptcy Code (IBC) against the issuer or promoting companies.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3. No winding-up petition admitted by NCLT/Court.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4. No material regulatory or disciplinary action by a stock exchange or regulatory authority in the past three years.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5. None of the merchant bankers involved in the IPO should have had their draft offer document returned by the exchange in the past six months. </w:t>
                  </w:r>
                  <w:r w:rsidRPr="003143B3">
                    <w:rPr>
                      <w:sz w:val="16"/>
                      <w:szCs w:val="16"/>
                    </w:rPr>
                    <w:br/>
                    <w:t>6. SME issues cannot include repayment of loans from promoters, promoter groups, or related parties using IPO proceeds.</w:t>
                  </w:r>
                </w:p>
              </w:tc>
            </w:tr>
          </w:tbl>
          <w:p w14:paraId="7810FB9B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1F0FEB11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7110"/>
            </w:tblGrid>
            <w:tr w:rsidR="003143B3" w:rsidRPr="003143B3" w14:paraId="296D5480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113AE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Disclosures in the Offer 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CDFAB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 xml:space="preserve">1. Any regulatory or disciplinary action in the past year related to promoters, promoting companies, or group companies.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2. Defaults in payment of interest/principal to debenture/bond/fixed deposit holders, banks, or financial institutions in the past three years.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3. Litigation details of the applicant, promoters, promoting companies, or group companies, including nature and status. </w:t>
                  </w:r>
                  <w:r w:rsidRPr="003143B3">
                    <w:rPr>
                      <w:sz w:val="16"/>
                      <w:szCs w:val="16"/>
                    </w:rPr>
                    <w:br/>
                    <w:t>4. Criminal cases or serious investigations involving the issuer’s directors, including economic offences, murder, rape, forgery, etc., and their potential impact on the business.</w:t>
                  </w:r>
                </w:p>
              </w:tc>
            </w:tr>
          </w:tbl>
          <w:p w14:paraId="624F80E0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156A951D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6969"/>
            </w:tblGrid>
            <w:tr w:rsidR="003143B3" w:rsidRPr="003143B3" w14:paraId="4CFC2B45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9AEE9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Rejection Cooling-Off Period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0247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>The applicant company’s application should not have been rejected by the Exchange in the last six complete months.</w:t>
                  </w:r>
                </w:p>
              </w:tc>
            </w:tr>
          </w:tbl>
          <w:p w14:paraId="0114C8DE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1BF35E83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  <w:gridCol w:w="5473"/>
            </w:tblGrid>
            <w:tr w:rsidR="003143B3" w:rsidRPr="003143B3" w14:paraId="25A28A92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7304F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Conditions Precedent to Listing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52393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 xml:space="preserve">The issuer must comply with conditions arising from: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1. </w:t>
                  </w:r>
                  <w:r w:rsidRPr="003143B3">
                    <w:rPr>
                      <w:b/>
                      <w:bCs/>
                      <w:sz w:val="16"/>
                      <w:szCs w:val="16"/>
                    </w:rPr>
                    <w:t>Securities Contracts (Regulations) Act, 1956</w:t>
                  </w:r>
                  <w:r w:rsidRPr="003143B3">
                    <w:rPr>
                      <w:sz w:val="16"/>
                      <w:szCs w:val="16"/>
                    </w:rPr>
                    <w:t xml:space="preserve">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2. </w:t>
                  </w:r>
                  <w:r w:rsidRPr="003143B3">
                    <w:rPr>
                      <w:b/>
                      <w:bCs/>
                      <w:sz w:val="16"/>
                      <w:szCs w:val="16"/>
                    </w:rPr>
                    <w:t>Companies Act, 1956 / 2013</w:t>
                  </w:r>
                  <w:r w:rsidRPr="003143B3">
                    <w:rPr>
                      <w:sz w:val="16"/>
                      <w:szCs w:val="16"/>
                    </w:rPr>
                    <w:t xml:space="preserve"> </w:t>
                  </w:r>
                  <w:r w:rsidRPr="003143B3">
                    <w:rPr>
                      <w:sz w:val="16"/>
                      <w:szCs w:val="16"/>
                    </w:rPr>
                    <w:br/>
                    <w:t xml:space="preserve">3. </w:t>
                  </w:r>
                  <w:r w:rsidRPr="003143B3">
                    <w:rPr>
                      <w:b/>
                      <w:bCs/>
                      <w:sz w:val="16"/>
                      <w:szCs w:val="16"/>
                    </w:rPr>
                    <w:t>Securities and Exchange Board of India (SEBI) Act, 1992</w:t>
                  </w:r>
                  <w:r w:rsidRPr="003143B3">
                    <w:rPr>
                      <w:sz w:val="16"/>
                      <w:szCs w:val="16"/>
                    </w:rPr>
                    <w:t xml:space="preserve"> </w:t>
                  </w:r>
                  <w:r w:rsidRPr="003143B3">
                    <w:rPr>
                      <w:sz w:val="16"/>
                      <w:szCs w:val="16"/>
                    </w:rPr>
                    <w:br/>
                    <w:t>4. Relevant rules, regulations, circulars, and guidelines issued under the above acts.</w:t>
                  </w:r>
                </w:p>
              </w:tc>
            </w:tr>
          </w:tbl>
          <w:p w14:paraId="67AABBCC" w14:textId="77777777" w:rsidR="003143B3" w:rsidRPr="003143B3" w:rsidRDefault="003143B3" w:rsidP="003F77AD">
            <w:pPr>
              <w:jc w:val="center"/>
              <w:rPr>
                <w:vanish/>
                <w:sz w:val="16"/>
                <w:szCs w:val="16"/>
              </w:rPr>
            </w:pPr>
          </w:p>
        </w:tc>
      </w:tr>
      <w:tr w:rsidR="003143B3" w:rsidRPr="003143B3" w14:paraId="6AE588B6" w14:textId="77777777" w:rsidTr="003143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7"/>
              <w:gridCol w:w="6353"/>
            </w:tblGrid>
            <w:tr w:rsidR="003143B3" w:rsidRPr="003143B3" w14:paraId="6F10F0EC" w14:textId="77777777" w:rsidTr="003F77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D77D8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b/>
                      <w:bCs/>
                      <w:sz w:val="16"/>
                      <w:szCs w:val="16"/>
                    </w:rPr>
                    <w:t>Eligibility Criteria for NSE Emerge Platform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B726A" w14:textId="77777777" w:rsidR="003143B3" w:rsidRPr="003143B3" w:rsidRDefault="003143B3" w:rsidP="003F77AD">
                  <w:pPr>
                    <w:jc w:val="center"/>
                    <w:rPr>
                      <w:sz w:val="16"/>
                      <w:szCs w:val="16"/>
                    </w:rPr>
                  </w:pPr>
                  <w:r w:rsidRPr="003143B3">
                    <w:rPr>
                      <w:sz w:val="16"/>
                      <w:szCs w:val="16"/>
                    </w:rPr>
                    <w:t xml:space="preserve">The company must meet the eligibility criteria at the time of filing the Public Offer Document with NSE, </w:t>
                  </w:r>
                  <w:proofErr w:type="spellStart"/>
                  <w:r w:rsidRPr="003143B3">
                    <w:rPr>
                      <w:sz w:val="16"/>
                      <w:szCs w:val="16"/>
                    </w:rPr>
                    <w:t>RoC</w:t>
                  </w:r>
                  <w:proofErr w:type="spellEnd"/>
                  <w:r w:rsidRPr="003143B3">
                    <w:rPr>
                      <w:sz w:val="16"/>
                      <w:szCs w:val="16"/>
                    </w:rPr>
                    <w:t>, and SEBI.</w:t>
                  </w:r>
                </w:p>
              </w:tc>
            </w:tr>
          </w:tbl>
          <w:p w14:paraId="77F77236" w14:textId="77777777" w:rsidR="003143B3" w:rsidRPr="003143B3" w:rsidRDefault="003143B3">
            <w:pPr>
              <w:rPr>
                <w:sz w:val="16"/>
                <w:szCs w:val="16"/>
              </w:rPr>
            </w:pPr>
          </w:p>
        </w:tc>
      </w:tr>
    </w:tbl>
    <w:p w14:paraId="559FE645" w14:textId="77777777" w:rsidR="00D8235F" w:rsidRPr="003143B3" w:rsidRDefault="00D8235F" w:rsidP="00D8235F">
      <w:pPr>
        <w:jc w:val="center"/>
        <w:rPr>
          <w:sz w:val="16"/>
          <w:szCs w:val="16"/>
        </w:rPr>
      </w:pPr>
    </w:p>
    <w:p w14:paraId="44AE209C" w14:textId="77777777" w:rsidR="00D8235F" w:rsidRPr="003143B3" w:rsidRDefault="00D8235F" w:rsidP="00D8235F">
      <w:pPr>
        <w:jc w:val="center"/>
        <w:rPr>
          <w:sz w:val="16"/>
          <w:szCs w:val="16"/>
        </w:rPr>
      </w:pPr>
    </w:p>
    <w:p w14:paraId="316DAE93" w14:textId="77777777" w:rsidR="00D8235F" w:rsidRDefault="00D8235F" w:rsidP="00D8235F">
      <w:pPr>
        <w:jc w:val="center"/>
      </w:pPr>
    </w:p>
    <w:p w14:paraId="3D23498F" w14:textId="77777777" w:rsidR="00D8235F" w:rsidRDefault="00D8235F" w:rsidP="00D8235F">
      <w:pPr>
        <w:jc w:val="center"/>
      </w:pPr>
    </w:p>
    <w:p w14:paraId="3BFB84EA" w14:textId="77777777" w:rsidR="00D8235F" w:rsidRDefault="00D8235F" w:rsidP="00D8235F">
      <w:pPr>
        <w:jc w:val="center"/>
      </w:pPr>
    </w:p>
    <w:sectPr w:rsidR="00D8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9ED"/>
    <w:multiLevelType w:val="multilevel"/>
    <w:tmpl w:val="B25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C6744"/>
    <w:multiLevelType w:val="multilevel"/>
    <w:tmpl w:val="E52E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A2F0E"/>
    <w:multiLevelType w:val="multilevel"/>
    <w:tmpl w:val="C8C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D0238"/>
    <w:multiLevelType w:val="multilevel"/>
    <w:tmpl w:val="B2A2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E1978"/>
    <w:multiLevelType w:val="multilevel"/>
    <w:tmpl w:val="9EBE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00661"/>
    <w:multiLevelType w:val="multilevel"/>
    <w:tmpl w:val="B61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51481"/>
    <w:multiLevelType w:val="multilevel"/>
    <w:tmpl w:val="8EF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F0181"/>
    <w:multiLevelType w:val="multilevel"/>
    <w:tmpl w:val="A29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3CDB"/>
    <w:multiLevelType w:val="multilevel"/>
    <w:tmpl w:val="9A3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D07BA"/>
    <w:multiLevelType w:val="multilevel"/>
    <w:tmpl w:val="2FA4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A159E"/>
    <w:multiLevelType w:val="multilevel"/>
    <w:tmpl w:val="EE6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712B0"/>
    <w:multiLevelType w:val="multilevel"/>
    <w:tmpl w:val="4204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326068">
    <w:abstractNumId w:val="9"/>
  </w:num>
  <w:num w:numId="2" w16cid:durableId="1680153085">
    <w:abstractNumId w:val="1"/>
  </w:num>
  <w:num w:numId="3" w16cid:durableId="322046012">
    <w:abstractNumId w:val="5"/>
  </w:num>
  <w:num w:numId="4" w16cid:durableId="632711783">
    <w:abstractNumId w:val="0"/>
  </w:num>
  <w:num w:numId="5" w16cid:durableId="826752054">
    <w:abstractNumId w:val="6"/>
  </w:num>
  <w:num w:numId="6" w16cid:durableId="2632851">
    <w:abstractNumId w:val="4"/>
  </w:num>
  <w:num w:numId="7" w16cid:durableId="1544712789">
    <w:abstractNumId w:val="11"/>
  </w:num>
  <w:num w:numId="8" w16cid:durableId="2066368982">
    <w:abstractNumId w:val="10"/>
  </w:num>
  <w:num w:numId="9" w16cid:durableId="1272130079">
    <w:abstractNumId w:val="8"/>
  </w:num>
  <w:num w:numId="10" w16cid:durableId="556016483">
    <w:abstractNumId w:val="2"/>
  </w:num>
  <w:num w:numId="11" w16cid:durableId="1659847328">
    <w:abstractNumId w:val="7"/>
  </w:num>
  <w:num w:numId="12" w16cid:durableId="1869683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29"/>
    <w:rsid w:val="00051164"/>
    <w:rsid w:val="003143B3"/>
    <w:rsid w:val="0079299C"/>
    <w:rsid w:val="00872F81"/>
    <w:rsid w:val="00916A39"/>
    <w:rsid w:val="00923482"/>
    <w:rsid w:val="00D8235F"/>
    <w:rsid w:val="00DC1529"/>
    <w:rsid w:val="00E6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67FF"/>
  <w15:chartTrackingRefBased/>
  <w15:docId w15:val="{39BEFE72-F709-47B6-ADF9-25F671BE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5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2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Devrajsinh Rathod</dc:creator>
  <cp:keywords/>
  <dc:description/>
  <cp:lastModifiedBy>Devrajsinh Rathod</cp:lastModifiedBy>
  <cp:revision>2</cp:revision>
  <dcterms:created xsi:type="dcterms:W3CDTF">2025-02-04T06:19:00Z</dcterms:created>
  <dcterms:modified xsi:type="dcterms:W3CDTF">2025-02-04T10:03:00Z</dcterms:modified>
</cp:coreProperties>
</file>