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Mechanical Transition Instability on Pretreatment Tissue Doppler Imaging Identifies Risk of Cancer Therapy-Related Cardiac Dysfunction in Women With Breast Cancer</w:t>
      </w:r>
    </w:p>
    <w:p>
      <w:pPr>
        <w:jc w:val="center"/>
      </w:pPr>
      <w:r>
        <w:rPr>
          <w:rFonts w:ascii="Times New Roman" w:hAnsi="Times New Roman"/>
          <w:b w:val="0"/>
          <w:i/>
          <w:sz w:val="22"/>
        </w:rPr>
        <w:t>Brief Report</w:t>
      </w:r>
    </w:p>
    <w:p>
      <w:pPr>
        <w:jc w:val="center"/>
      </w:pPr>
      <w:r>
        <w:rPr>
          <w:rFonts w:ascii="Times New Roman" w:hAnsi="Times New Roman"/>
          <w:b w:val="0"/>
          <w:i w:val="0"/>
          <w:sz w:val="20"/>
        </w:rPr>
        <w:t>Keywords: cardio-oncology; cardiotoxicity; echocardiography; tissue Doppler imaging</w:t>
      </w:r>
    </w:p>
    <w:p>
      <w:pPr>
        <w:pStyle w:val="Heading1"/>
      </w:pPr>
      <w:r>
        <w:t>1. Introduction</w:t>
      </w:r>
    </w:p>
    <w:p>
      <w:r>
        <w:rPr>
          <w:rFonts w:ascii="Times New Roman" w:hAnsi="Times New Roman"/>
          <w:b w:val="0"/>
          <w:i w:val="0"/>
        </w:rPr>
        <w:t>Cardio-oncology surveillance is designed to identify cardiovascular vulnerability early enough to preserve both cardiac health and effective cancer treatment. Yet pretreatment risk assessment remains difficult. Left ventricular ejection fraction (LVEF) is central to routine evaluation, but it summarizes chamber-level systolic performance and may not capture subtle abnormalities in the timing of myocardial motion. Global longitudinal strain improves sensitivity to evolving dysfunction, but its principal clinical role is surveillance after therapy begins.¹ These limitations motivate complementary baseline markers that describe how the myocardium moves, rather than only how much the ventricle ejects.</w:t>
      </w:r>
    </w:p>
    <w:p>
      <w:r>
        <w:rPr>
          <w:rFonts w:ascii="Times New Roman" w:hAnsi="Times New Roman"/>
          <w:b w:val="0"/>
          <w:i w:val="0"/>
        </w:rPr>
        <w:t>Tissue Doppler imaging (TDI) provides a beat-level velocity trajectory spanning systole and diastole. In the public BC_cardiotox cohort, later and lower-amplitude pretreatment E′ velocity was associated with subsequent cancer therapy-related cardiac dysfunction (CTRCD).²,³ We hypothesized that susceptibility may be encoded more broadly in the transition from systolic motion into early relaxation. We therefore developed Mechanical Transition Instability (MTI), an interpretable 4-component phenotype derived from the pretreatment TDI trajectory, and evaluated its association with subsequent CTRCD, its relationship to baseline LVEF, and its potential for surveillance risk enrichment.</w:t>
      </w:r>
    </w:p>
    <w:p>
      <w:pPr>
        <w:pStyle w:val="Heading1"/>
      </w:pPr>
      <w:r>
        <w:t>2. Methods</w:t>
      </w:r>
    </w:p>
    <w:p>
      <w:r>
        <w:rPr>
          <w:rFonts w:ascii="Times New Roman" w:hAnsi="Times New Roman"/>
          <w:b w:val="0"/>
          <w:i w:val="0"/>
        </w:rPr>
        <w:t>We performed a secondary analysis of BC_cardiotox, a publicly available cohort of 531 women with HER2-positive breast cancer treated with potentially cardiotoxic therapy at the University Hospital of A Coruña.² The source study was approved by the Drug Research Ethical Committee of Galicia (CEIm-G; 2022/492), conducted in accordance with the Declaration of Helsinki, and received a waiver of consent for the retrospective analysis. The dataset is distributed under a Creative Commons Attribution 4.0 license. A processed pretreatment TDI waveform was available for 270 women and defined the imaging cohort. Each waveform represented one cardiac cycle sampled at 1,001 normalized phases. CTRCD was defined in the source dataset as LVEF &lt;50% with an absolute decrease of at least 10 percentage points from baseline. Time was measured from treatment initiation to CTRCD or censoring.</w:t>
      </w:r>
    </w:p>
    <w:p>
      <w:r>
        <w:rPr>
          <w:rFonts w:ascii="Times New Roman" w:hAnsi="Times New Roman"/>
          <w:b w:val="0"/>
          <w:i w:val="0"/>
        </w:rPr>
        <w:t>Waveforms were smoothed with a third-order Savitzky-Golay filter. The systolic S peak, first positive-to-negative zero crossing after S, and subsequent E′ nadir were identified automatically. MTI combined 4 study-defined measures: transition slope deficit, reduced steepness from peak systolic velocity toward zero; transition curvature deficit, blunting of the systolic-to-relaxation bend; early-relaxation latency, delayed E′ after systolic termination; and E′ attenuation, reduced early-diastolic velocity magnitude (Figure 1). Components were oriented so that higher values indicated greater abnormality, standardized within training folds, and averaged with equal weight.</w:t>
      </w:r>
    </w:p>
    <w:p>
      <w:r>
        <w:rPr>
          <w:rFonts w:ascii="Times New Roman" w:hAnsi="Times New Roman"/>
          <w:b w:val="0"/>
          <w:i w:val="0"/>
        </w:rPr>
        <w:t>The primary association analysis used Cox proportional hazards regression and reported hazard ratios (HRs) per 1-SD increase in MTI. Models evaluated MTI alone and after adjustment for baseline LVEF, age, and cancer-therapy exposures. Discrimination used 100 repeated stratified 5-fold cross-validation partitions. MTI standardization and model coefficients were estimated in training folds only and applied to held-out women. Repeated held-out predictions were averaged to calculate AUROC, AUPRC, and Harrell C-index; 95% CIs used patient bootstrap resampling. Comparators were baseline LVEF and the previously published E′ timing/velocity ratio.³ Prespecified sensitivity analyses restricted the cohort to baseline LVEF ≥50%, varied signal smoothing, and omitted MTI components individually.</w:t>
      </w:r>
    </w:p>
    <w:p>
      <w:r>
        <w:rPr>
          <w:rFonts w:ascii="Times New Roman" w:hAnsi="Times New Roman"/>
          <w:b w:val="0"/>
          <w:i w:val="0"/>
        </w:rPr>
        <w:t>Exploratory analyses evaluated whole-waveform morphology with functional permutation testing, the shape of the continuous MTI-risk relation with restricted cubic splines, and surveillance efficiency using cross-fitted risk rankings. The latter asked what proportion of subsequent events would fall within a prespecified fraction of patients selected for intensified surveillance. These analyses were considered hypothesis-generating and did not define a clinical threshold.</w:t>
      </w:r>
    </w:p>
    <w:p>
      <w:pPr>
        <w:pStyle w:val="Heading1"/>
      </w:pPr>
      <w:r>
        <w:t>3. Results</w:t>
      </w:r>
    </w:p>
    <w:p>
      <w:r>
        <w:rPr>
          <w:rFonts w:ascii="Times New Roman" w:hAnsi="Times New Roman"/>
          <w:b w:val="0"/>
          <w:i w:val="0"/>
        </w:rPr>
        <w:t>Among 270 women with pretreatment TDI, 27 (10.0%) developed CTRCD. Median follow-up was 437 days, and median time to CTRCD among event cases was 316 days. Women who developed CTRCD had lower baseline LVEF and higher heart rate (Table 1A). All 4 MTI components were directionally associated with outcome, with event-oriented AUROCs from 0.621 to 0.652 (Table 1B). Pretreatment waveforms showed a distributed difference across the systolic-to-relaxation transition; the global functional permutation test was P=0.047 and was attenuated after accounting for baseline LVEF (P=0.056), without a narrow phase interval surviving cluster-wise family-error correction (Figure 1).</w:t>
      </w:r>
    </w:p>
    <w:p>
      <w:r>
        <w:rPr>
          <w:rFonts w:ascii="Times New Roman" w:hAnsi="Times New Roman"/>
          <w:b w:val="0"/>
          <w:i w:val="0"/>
        </w:rPr>
        <w:t>MTI yielded a cross-fitted AUROC of 0.695 (95% CI, 0.590 to 0.794), AUPRC of 0.192 (95% CI, 0.141 to 0.321), and C-index of 0.677 (95% CI, 0.570 to 0.784). Baseline LVEF yielded an AUROC of 0.657 and C-index of 0.678; the published E′ timing/velocity comparator yielded an AUROC of 0.663 and C-index of 0.660. MTI plus LVEF yielded an AUROC of 0.712 (95% CI, 0.608 to 0.807) and C-index of 0.715 (95% CI, 0.611 to 0.810). The paired C-index difference versus LVEF was 0.037 (95% CI, -0.059 to 0.137), so discrimination superiority was not established (Table 1C; Figure 2).</w:t>
      </w:r>
    </w:p>
    <w:p>
      <w:r>
        <w:rPr>
          <w:rFonts w:ascii="Times New Roman" w:hAnsi="Times New Roman"/>
          <w:b w:val="0"/>
          <w:i w:val="0"/>
        </w:rPr>
        <w:t>Each 1-SD higher MTI was associated with greater hazard of CTRCD (HR, 2.37; 95% CI, 1.49 to 3.78; P&lt;0.001). The association persisted after adjustment for LVEF (HR, 2.20; 95% CI, 1.36 to 3.55; P=0.001), age and LVEF (HR, 2.19; 95% CI, 1.34 to 3.58; P=0.002), and, among 248 complete cases, anthracycline and anti-HER2 exposure in addition to age and LVEF (HR, 1.95; 95% CI, 1.19 to 3.18; P=0.008). Among 261 women with baseline LVEF ≥50%, MTI remained associated with CTRCD (adjusted HR, 2.22; 95% CI, 1.41 to 3.51; P&lt;0.001). CTRCD occurred in 5/90, 6/90, and 16/90 women across increasing MTI tertiles. A spline analysis showed no evidence of nonlinearity (P=0.999). In an exploratory surveillance-efficiency analysis, the highest-risk 20% by cross-fitted MTI plus LVEF prediction contained 13 of 27 events (48.1%), with a positive predictive value of 24.1% versus 10.0% cohort prevalence (Figure 2).</w:t>
      </w:r>
    </w:p>
    <w:p>
      <w:pPr>
        <w:pStyle w:val="Heading1"/>
      </w:pPr>
      <w:r>
        <w:t>4. Discussion and Conclusion</w:t>
      </w:r>
    </w:p>
    <w:p>
      <w:r>
        <w:rPr>
          <w:rFonts w:ascii="Times New Roman" w:hAnsi="Times New Roman"/>
          <w:b w:val="0"/>
          <w:i w:val="0"/>
        </w:rPr>
        <w:t>Pretreatment myocardial motion contained prognostic information before overt systolic dysfunction. A slower, smoother, later, and attenuated transition from systolic motion into early relaxation was associated with subsequent CTRCD, independent of baseline LVEF and among women with preserved pretreatment LVEF. These findings extend prior observations centered on the E′ landmark³ by treating the systolic-to-relaxation transition as an integrated mechanical phenotype.</w:t>
      </w:r>
    </w:p>
    <w:p>
      <w:r>
        <w:rPr>
          <w:rFonts w:ascii="Times New Roman" w:hAnsi="Times New Roman"/>
          <w:b w:val="0"/>
          <w:i w:val="0"/>
        </w:rPr>
        <w:t>MTI is not intended to replace LVEF, GLS, biomarkers, or established clinical risk assessment. Its potential value is different: a single pretreatment TDI cycle may provide an interpretable measure of temporal mechanical vulnerability before therapy-related decline is measurable. The continuous risk gradient and event-concentration analysis support a risk-enrichment rather than diagnostic role. The numerically higher discrimination of MTI plus LVEF also suggests complementarity, but paired uncertainty crossed zero and incremental superiority was not established.</w:t>
      </w:r>
    </w:p>
    <w:p>
      <w:r>
        <w:rPr>
          <w:rFonts w:ascii="Times New Roman" w:hAnsi="Times New Roman"/>
          <w:b w:val="0"/>
          <w:i w:val="0"/>
        </w:rPr>
        <w:t>Limitations include 27 events, single-center derivation, internal rather than external validation, absence of GLS, and processed TDI availability in only 270 of 531 women. Women with available TDI differed from those without TDI in age, follow-up duration, anti-HER2 exposure, and hypertension, although CTRCD prevalence was similar. Cardiac-cycle normalization removes absolute timing information, and MTI depends on automated landmark extraction and smoothing. External validation in prospectively acquired TDI and contemporary cardio-oncology cohorts is required.</w:t>
      </w:r>
    </w:p>
    <w:p>
      <w:r>
        <w:rPr>
          <w:rFonts w:ascii="Times New Roman" w:hAnsi="Times New Roman"/>
          <w:b w:val="0"/>
          <w:i w:val="0"/>
        </w:rPr>
        <w:t>Mechanical Transition Instability from a single pretreatment TDI cycle was independently associated with subsequent CTRCD. Temporal myocardial mechanics may provide a practical layer of baseline risk information for identifying patients who warrant more intensive cardiovascular surveillance.</w:t>
      </w:r>
    </w:p>
    <w:p>
      <w:pPr>
        <w:pStyle w:val="Heading1"/>
      </w:pPr>
      <w:r>
        <w:t>Ethics Statement</w:t>
      </w:r>
    </w:p>
    <w:p>
      <w:r>
        <w:rPr>
          <w:rFonts w:ascii="Times New Roman" w:hAnsi="Times New Roman"/>
          <w:b w:val="0"/>
          <w:i w:val="0"/>
        </w:rPr>
        <w:t>The source study was approved by the Drug Research Ethical Committee of Galicia (CEIm-G; 2022/492), was conducted in accordance with the Declaration of Helsinki, and received a waiver of consent for the retrospective analysis.²</w:t>
      </w:r>
    </w:p>
    <w:p>
      <w:pPr>
        <w:pStyle w:val="Heading1"/>
      </w:pPr>
      <w:r>
        <w:t>Data and Code Availability</w:t>
      </w:r>
    </w:p>
    <w:p>
      <w:r>
        <w:rPr>
          <w:rFonts w:ascii="Times New Roman" w:hAnsi="Times New Roman"/>
          <w:b w:val="0"/>
          <w:i w:val="0"/>
        </w:rPr>
        <w:t>BC_cardiotox is publicly available through Figshare (doi:10.6084/m9.figshare.22650748.v4) under CC BY 4.0. Analysis code, aggregate results, figure-generation scripts, and the interactive research companion are provided in the accompanying repository. Patient-level data are not redistributed in the repository.</w:t>
      </w:r>
    </w:p>
    <w:p>
      <w:pPr>
        <w:pStyle w:val="Heading1"/>
      </w:pPr>
      <w:r>
        <w:t>Declaration of generative AI and AI-assisted technologies in the manuscript preparation process</w:t>
      </w:r>
    </w:p>
    <w:p>
      <w:r>
        <w:rPr>
          <w:rFonts w:ascii="Times New Roman" w:hAnsi="Times New Roman"/>
          <w:b w:val="0"/>
          <w:i w:val="0"/>
        </w:rPr>
        <w:t>During preparation of this work, the authors used ChatGPT (OpenAI) to assist with language editing, organization, and clarity. The authors reviewed and edited the content and take full responsibility for the article.</w:t>
      </w:r>
    </w:p>
    <w:p>
      <w:pPr>
        <w:pStyle w:val="Heading1"/>
      </w:pPr>
      <w:r>
        <w:t>References</w:t>
      </w:r>
    </w:p>
    <w:p>
      <w:pPr>
        <w:ind w:left="288" w:hanging="288"/>
      </w:pPr>
      <w:r>
        <w:rPr>
          <w:rFonts w:ascii="Times New Roman" w:hAnsi="Times New Roman"/>
          <w:b w:val="0"/>
          <w:i w:val="0"/>
        </w:rPr>
        <w:t xml:space="preserve">1. Lyon AR, López-Fernández T, Couch LS, et al. 2022 ESC Guidelines on cardio-oncology developed in collaboration with the EHA, ESTRO and IC-OS. </w:t>
      </w:r>
      <w:r>
        <w:rPr>
          <w:rFonts w:ascii="Times New Roman" w:hAnsi="Times New Roman"/>
          <w:b w:val="0"/>
          <w:i/>
        </w:rPr>
        <w:t>Eur Heart J</w:t>
      </w:r>
      <w:r>
        <w:rPr>
          <w:rFonts w:ascii="Times New Roman" w:hAnsi="Times New Roman"/>
          <w:b w:val="0"/>
          <w:i w:val="0"/>
        </w:rPr>
        <w:t>. 2022;43:4229-4361. doi:10.1093/eurheartj/ehac244.</w:t>
      </w:r>
    </w:p>
    <w:p>
      <w:pPr>
        <w:ind w:left="288" w:hanging="288"/>
      </w:pPr>
      <w:r>
        <w:rPr>
          <w:rFonts w:ascii="Times New Roman" w:hAnsi="Times New Roman"/>
          <w:b w:val="0"/>
          <w:i w:val="0"/>
        </w:rPr>
        <w:t xml:space="preserve">2. Piñeiro-Lamas B, López-Cheda A, Cao R, et al. A cardiotoxicity dataset for breast cancer patients. </w:t>
      </w:r>
      <w:r>
        <w:rPr>
          <w:rFonts w:ascii="Times New Roman" w:hAnsi="Times New Roman"/>
          <w:b w:val="0"/>
          <w:i/>
        </w:rPr>
        <w:t>Sci Data</w:t>
      </w:r>
      <w:r>
        <w:rPr>
          <w:rFonts w:ascii="Times New Roman" w:hAnsi="Times New Roman"/>
          <w:b w:val="0"/>
          <w:i w:val="0"/>
        </w:rPr>
        <w:t>. 2023;10:527. doi:10.1038/s41597-023-02419-1.</w:t>
      </w:r>
    </w:p>
    <w:p>
      <w:pPr>
        <w:ind w:left="288" w:hanging="288"/>
      </w:pPr>
      <w:r>
        <w:rPr>
          <w:rFonts w:ascii="Times New Roman" w:hAnsi="Times New Roman"/>
          <w:b w:val="0"/>
          <w:i w:val="0"/>
        </w:rPr>
        <w:t xml:space="preserve">3. Piñeiro-Lamas B, López-Cheda A, Cao R, Lesta-Mellid R, Bouzas-Mosquera A, Barbeito-Caamaño C. Tissue Doppler Imaging as a predictor of therapy-related cardiac dysfunction in breast cancer patients. </w:t>
      </w:r>
      <w:r>
        <w:rPr>
          <w:rFonts w:ascii="Times New Roman" w:hAnsi="Times New Roman"/>
          <w:b w:val="0"/>
          <w:i/>
        </w:rPr>
        <w:t>Int J Cardiovasc Imaging</w:t>
      </w:r>
      <w:r>
        <w:rPr>
          <w:rFonts w:ascii="Times New Roman" w:hAnsi="Times New Roman"/>
          <w:b w:val="0"/>
          <w:i w:val="0"/>
        </w:rPr>
        <w:t>. 2025;41:1505-1512. doi:10.1007/s10554-025-03439-1.</w:t>
      </w:r>
    </w:p>
    <w:p>
      <w:pPr>
        <w:ind w:left="288" w:hanging="288"/>
      </w:pPr>
      <w:r>
        <w:rPr>
          <w:rFonts w:ascii="Times New Roman" w:hAnsi="Times New Roman"/>
          <w:b w:val="0"/>
          <w:i w:val="0"/>
        </w:rPr>
        <w:t xml:space="preserve">4. Sawaya H, Sebag IA, Plana JC, et al. Early detection and prediction of cardiotoxicity in chemotherapy-treated patients. </w:t>
      </w:r>
      <w:r>
        <w:rPr>
          <w:rFonts w:ascii="Times New Roman" w:hAnsi="Times New Roman"/>
          <w:b w:val="0"/>
          <w:i/>
        </w:rPr>
        <w:t>Am J Cardiol</w:t>
      </w:r>
      <w:r>
        <w:rPr>
          <w:rFonts w:ascii="Times New Roman" w:hAnsi="Times New Roman"/>
          <w:b w:val="0"/>
          <w:i w:val="0"/>
        </w:rPr>
        <w:t>. 2011;107:1375-1380.</w:t>
      </w:r>
    </w:p>
    <w:p>
      <w:pPr>
        <w:ind w:left="288" w:hanging="288"/>
      </w:pPr>
      <w:r>
        <w:rPr>
          <w:rFonts w:ascii="Times New Roman" w:hAnsi="Times New Roman"/>
          <w:b w:val="0"/>
          <w:i w:val="0"/>
        </w:rPr>
        <w:t xml:space="preserve">5. Negishi K, Negishi T, Hare JL, Haluska BA, Plana JC, Marwick TH. Independent and incremental value of deformation indices for prediction of trastuzumab-induced cardiotoxicity. </w:t>
      </w:r>
      <w:r>
        <w:rPr>
          <w:rFonts w:ascii="Times New Roman" w:hAnsi="Times New Roman"/>
          <w:b w:val="0"/>
          <w:i/>
        </w:rPr>
        <w:t>J Am Soc Echocardiogr</w:t>
      </w:r>
      <w:r>
        <w:rPr>
          <w:rFonts w:ascii="Times New Roman" w:hAnsi="Times New Roman"/>
          <w:b w:val="0"/>
          <w:i w:val="0"/>
        </w:rPr>
        <w:t>. 2013;26:493-498.</w:t>
      </w:r>
    </w:p>
    <w:p>
      <w:r>
        <w:br w:type="page"/>
      </w:r>
    </w:p>
    <w:p>
      <w:pPr>
        <w:pStyle w:val="Heading1"/>
      </w:pPr>
      <w:r>
        <w:t>Figure Legends</w:t>
      </w:r>
    </w:p>
    <w:p>
      <w:r>
        <w:rPr>
          <w:rFonts w:ascii="Times New Roman" w:hAnsi="Times New Roman"/>
          <w:b/>
          <w:i w:val="0"/>
        </w:rPr>
        <w:t>Figure 1. Pretreatment myocardial mechanical-transition phenotype and construction of Mechanical Transition Instability.</w:t>
      </w:r>
      <w:r>
        <w:rPr>
          <w:rFonts w:ascii="Times New Roman" w:hAnsi="Times New Roman"/>
          <w:b w:val="0"/>
          <w:i w:val="0"/>
        </w:rPr>
        <w:t xml:space="preserve"> (A) Median pretreatment Tissue Doppler velocity trajectories in women who subsequently developed cancer therapy-related cardiac dysfunction (CTRCD) and those who did not, with interquartile bands. S, E′, and A′ indicate systolic, early-diastolic, and late-diastolic myocardial velocity phases. (B) Mechanical Transition Instability (MTI) is the equal-weight mean of 4 training-standardized measures that characterize the transition from systolic motion into early relaxation: transition slope deficit, transition curvature deficit, early-relaxation latency, and E′ attenuation. Higher MTI indicates a slower, blunted, delayed, and lower-amplitude transition into early relaxation. (C) Patient-level waveform atlas ordered by MTI illustrates continuous variation in the pretreatment mechanical phenotype rather than a discrete threshold. (D) Phase-resolved difference between event and nonevent waveforms with bootstrap uncertainty. Whole-waveform functional permutation testing yielded P=0.047 before LVEF adjustment and P=0.056 after residualizing for baseline LVEF. The strongest contiguous difference occurred near normalized phase 0.499 to 0.600 but did not survive cluster-wise family-error correction (FWER P=0.094), supporting interpretation as a distributed transition phenotype rather than a statistically isolated phase interval. TDI indicates Tissue Doppler imaging.</w:t>
      </w:r>
    </w:p>
    <w:p>
      <w:r>
        <w:rPr>
          <w:rFonts w:ascii="Times New Roman" w:hAnsi="Times New Roman"/>
          <w:b/>
          <w:i w:val="0"/>
        </w:rPr>
        <w:t>Figure 2. Clinical association, discrimination, and surveillance risk enrichment of Mechanical Transition Instability.</w:t>
      </w:r>
      <w:r>
        <w:rPr>
          <w:rFonts w:ascii="Times New Roman" w:hAnsi="Times New Roman"/>
          <w:b w:val="0"/>
          <w:i w:val="0"/>
        </w:rPr>
        <w:t xml:space="preserve"> (A) Receiver-operating-characteristic curves from predictions aggregated across 100 repeated stratified 5-fold cross-validation partitions. MTI standardization and model fitting were restricted to training folds. (B) CTRCD-free survival across increasing MTI tertiles; event counts were 5/90, 6/90, and 16/90 in the low, middle, and high tertiles, respectively. Tertiles are shown for visualization and do not represent validated clinical cutoffs. (C) Hazard ratios per 1-SD higher MTI from Cox proportional hazards models, including adjustment for baseline LVEF, age, treatment exposures, and the preserved-LVEF sensitivity cohort. (D) Exploratory surveillance-efficiency curve generated exclusively from cross-fitted MTI + LVEF risk rankings. Selecting the highest-risk 20% of women identified 13 of 27 subsequent CTRCD events (48.1%) with a positive predictive value of 24.1%, compared with 10.0% event prevalence in the full TDI cohort. This panel evaluates risk concentration and does not define a clinical intervention threshold. CI indicates confidence interval; CTRCD, cancer therapy-related cardiac dysfunction; LVEF, left ventricular ejection fraction; MTI, Mechanical Transition Instability.</w:t>
      </w:r>
    </w:p>
    <w:p>
      <w:r>
        <w:br w:type="page"/>
      </w:r>
    </w:p>
    <w:p>
      <w:pPr>
        <w:pStyle w:val="Heading1"/>
      </w:pPr>
      <w:r>
        <w:t>Table 1. Cohort characteristics, MTI phenotype, cross-validated performance, and association with CTRCD</w:t>
      </w:r>
    </w:p>
    <w:p>
      <w:r>
        <w:rPr>
          <w:rFonts w:ascii="Times New Roman" w:hAnsi="Times New Roman"/>
          <w:b/>
          <w:i w:val="0"/>
        </w:rPr>
        <w:t>Panel A. Pretreatment TDI analysis cohort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744"/>
            <w:shd w:fill="E6ECEE"/>
            <w:tcMar>
              <w:top w:w="70" w:type="dxa"/>
              <w:start w:w="70" w:type="dxa"/>
              <w:bottom w:w="70" w:type="dxa"/>
              <w:end w:w="70" w:type="dxa"/>
            </w:tcMar>
          </w:tcPr>
          <w:p>
            <w:pPr>
              <w:jc w:val="left"/>
            </w:pPr>
            <w:r/>
            <w:r>
              <w:rPr>
                <w:rFonts w:ascii="Times New Roman" w:hAnsi="Times New Roman"/>
                <w:b/>
                <w:i w:val="0"/>
                <w:sz w:val="16"/>
              </w:rPr>
              <w:t>Characteristic</w:t>
            </w:r>
          </w:p>
        </w:tc>
        <w:tc>
          <w:tcPr>
            <w:tcW w:type="dxa" w:w="1872"/>
            <w:shd w:fill="E6ECEE"/>
            <w:tcMar>
              <w:top w:w="70" w:type="dxa"/>
              <w:start w:w="70" w:type="dxa"/>
              <w:bottom w:w="70" w:type="dxa"/>
              <w:end w:w="70" w:type="dxa"/>
            </w:tcMar>
          </w:tcPr>
          <w:p>
            <w:pPr>
              <w:jc w:val="left"/>
            </w:pPr>
            <w:r/>
            <w:r>
              <w:rPr>
                <w:rFonts w:ascii="Times New Roman" w:hAnsi="Times New Roman"/>
                <w:b/>
                <w:i w:val="0"/>
                <w:sz w:val="16"/>
              </w:rPr>
              <w:t>Overall (n=270)</w:t>
            </w:r>
          </w:p>
        </w:tc>
        <w:tc>
          <w:tcPr>
            <w:tcW w:type="dxa" w:w="1872"/>
            <w:shd w:fill="E6ECEE"/>
            <w:tcMar>
              <w:top w:w="70" w:type="dxa"/>
              <w:start w:w="70" w:type="dxa"/>
              <w:bottom w:w="70" w:type="dxa"/>
              <w:end w:w="70" w:type="dxa"/>
            </w:tcMar>
          </w:tcPr>
          <w:p>
            <w:pPr>
              <w:jc w:val="left"/>
            </w:pPr>
            <w:r/>
            <w:r>
              <w:rPr>
                <w:rFonts w:ascii="Times New Roman" w:hAnsi="Times New Roman"/>
                <w:b/>
                <w:i w:val="0"/>
                <w:sz w:val="16"/>
              </w:rPr>
              <w:t>CTRCD (n=27)</w:t>
            </w:r>
          </w:p>
        </w:tc>
        <w:tc>
          <w:tcPr>
            <w:tcW w:type="dxa" w:w="2016"/>
            <w:shd w:fill="E6ECEE"/>
            <w:tcMar>
              <w:top w:w="70" w:type="dxa"/>
              <w:start w:w="70" w:type="dxa"/>
              <w:bottom w:w="70" w:type="dxa"/>
              <w:end w:w="70" w:type="dxa"/>
            </w:tcMar>
          </w:tcPr>
          <w:p>
            <w:pPr>
              <w:jc w:val="left"/>
            </w:pPr>
            <w:r/>
            <w:r>
              <w:rPr>
                <w:rFonts w:ascii="Times New Roman" w:hAnsi="Times New Roman"/>
                <w:b/>
                <w:i w:val="0"/>
                <w:sz w:val="16"/>
              </w:rPr>
              <w:t>No CTRCD (n=243)</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Age, y</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58 [49-66]</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61 [54-64]</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57 [49-66]</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Heart rate, beats/min</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72.5 [64.3-80.0]</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78 [71-87]</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72 [64-79]</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LVEF, %</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65.7 [61.2-70.9]</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61.4 [58.4-66.9]</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65.8 [61.6-72.0]</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LV end-diastolic diameter, cm</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4.29 [3.97-4.63]</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4.22 [3.81-4.64]</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4.30 [3.97-4.63]</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LV end-systolic diameter, cm</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2.70 [2.44-2.94]</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2.85 [2.37-3.12]</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2.69 [2.45-2.93]</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Follow-up, d</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437 [220-874]</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316 [209-720]</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453 [224-879]</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Anthracycline therapy</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163/248 (65.7%)</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20/24 (83.3%)</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143/224 (63.8%)</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Anti-HER2 therapy</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158/248 (63.7%)</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17/24 (70.8%)</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141/224 (62.9%)</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Hypertension</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62/247 (25.1%)</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6/24 (25.0%)</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56/223 (25.1%)</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Dyslipidemia</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53/248 (21.4%)</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6/24 (25.0%)</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47/224 (21.0%)</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Diabetes mellitus</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14/248 (5.6%)</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0/24 (0%)</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14/224 (6.2%)</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Prior anthracycline exposure</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29/248 (11.7%)</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7/24 (29.2%)</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22/224 (9.8%)</w:t>
            </w:r>
          </w:p>
        </w:tc>
      </w:tr>
      <w:tr>
        <w:tc>
          <w:tcPr>
            <w:tcW w:type="dxa" w:w="3744"/>
            <w:tcMar>
              <w:top w:w="70" w:type="dxa"/>
              <w:start w:w="70" w:type="dxa"/>
              <w:bottom w:w="70" w:type="dxa"/>
              <w:end w:w="70" w:type="dxa"/>
            </w:tcMar>
          </w:tcPr>
          <w:p>
            <w:pPr>
              <w:spacing w:after="0" w:line="240" w:lineRule="auto"/>
            </w:pPr>
            <w:r/>
            <w:r>
              <w:rPr>
                <w:rFonts w:ascii="Times New Roman" w:hAnsi="Times New Roman"/>
                <w:b w:val="0"/>
                <w:i w:val="0"/>
                <w:sz w:val="16"/>
              </w:rPr>
              <w:t>Prior anti-HER2 exposure</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7/248 (2.8%)</w:t>
            </w:r>
          </w:p>
        </w:tc>
        <w:tc>
          <w:tcPr>
            <w:tcW w:type="dxa" w:w="1872"/>
            <w:tcMar>
              <w:top w:w="70" w:type="dxa"/>
              <w:start w:w="70" w:type="dxa"/>
              <w:bottom w:w="70" w:type="dxa"/>
              <w:end w:w="70" w:type="dxa"/>
            </w:tcMar>
          </w:tcPr>
          <w:p>
            <w:pPr>
              <w:spacing w:after="0" w:line="240" w:lineRule="auto"/>
            </w:pPr>
            <w:r/>
            <w:r>
              <w:rPr>
                <w:rFonts w:ascii="Times New Roman" w:hAnsi="Times New Roman"/>
                <w:b w:val="0"/>
                <w:i w:val="0"/>
                <w:sz w:val="16"/>
              </w:rPr>
              <w:t>3/24 (12.5%)</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4/224 (1.8%)</w:t>
            </w:r>
          </w:p>
        </w:tc>
      </w:tr>
    </w:tbl>
    <w:p>
      <w:r>
        <w:rPr>
          <w:rFonts w:ascii="Times New Roman" w:hAnsi="Times New Roman"/>
          <w:b w:val="0"/>
          <w:i w:val="0"/>
          <w:sz w:val="16"/>
        </w:rPr>
        <w:t>Values are median [IQR] or n/N (%). Binary treatment/comorbidity variables contain missing values in the public dataset; denominators are shown explicitly.</w:t>
      </w:r>
    </w:p>
    <w:p>
      <w:r>
        <w:rPr>
          <w:rFonts w:ascii="Times New Roman" w:hAnsi="Times New Roman"/>
          <w:b/>
          <w:i w:val="0"/>
        </w:rPr>
        <w:t>Panel B. Four-component Mechanical Transition Instability phenotype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00"/>
            <w:shd w:fill="E6ECEE"/>
            <w:tcMar>
              <w:top w:w="70" w:type="dxa"/>
              <w:start w:w="70" w:type="dxa"/>
              <w:bottom w:w="70" w:type="dxa"/>
              <w:end w:w="70" w:type="dxa"/>
            </w:tcMar>
          </w:tcPr>
          <w:p>
            <w:pPr>
              <w:jc w:val="left"/>
            </w:pPr>
            <w:r/>
            <w:r>
              <w:rPr>
                <w:rFonts w:ascii="Times New Roman" w:hAnsi="Times New Roman"/>
                <w:b/>
                <w:i w:val="0"/>
                <w:sz w:val="15"/>
              </w:rPr>
              <w:t>MTI component</w:t>
            </w:r>
          </w:p>
        </w:tc>
        <w:tc>
          <w:tcPr>
            <w:tcW w:type="dxa" w:w="2736"/>
            <w:shd w:fill="E6ECEE"/>
            <w:tcMar>
              <w:top w:w="70" w:type="dxa"/>
              <w:start w:w="70" w:type="dxa"/>
              <w:bottom w:w="70" w:type="dxa"/>
              <w:end w:w="70" w:type="dxa"/>
            </w:tcMar>
          </w:tcPr>
          <w:p>
            <w:pPr>
              <w:jc w:val="left"/>
            </w:pPr>
            <w:r/>
            <w:r>
              <w:rPr>
                <w:rFonts w:ascii="Times New Roman" w:hAnsi="Times New Roman"/>
                <w:b/>
                <w:i w:val="0"/>
                <w:sz w:val="15"/>
              </w:rPr>
              <w:t>Operational meaning</w:t>
            </w:r>
          </w:p>
        </w:tc>
        <w:tc>
          <w:tcPr>
            <w:tcW w:type="dxa" w:w="1656"/>
            <w:shd w:fill="E6ECEE"/>
            <w:tcMar>
              <w:top w:w="70" w:type="dxa"/>
              <w:start w:w="70" w:type="dxa"/>
              <w:bottom w:w="70" w:type="dxa"/>
              <w:end w:w="70" w:type="dxa"/>
            </w:tcMar>
          </w:tcPr>
          <w:p>
            <w:pPr>
              <w:jc w:val="left"/>
            </w:pPr>
            <w:r/>
            <w:r>
              <w:rPr>
                <w:rFonts w:ascii="Times New Roman" w:hAnsi="Times New Roman"/>
                <w:b/>
                <w:i w:val="0"/>
                <w:sz w:val="15"/>
              </w:rPr>
              <w:t>CTRCD median [IQR]</w:t>
            </w:r>
          </w:p>
        </w:tc>
        <w:tc>
          <w:tcPr>
            <w:tcW w:type="dxa" w:w="1728"/>
            <w:shd w:fill="E6ECEE"/>
            <w:tcMar>
              <w:top w:w="70" w:type="dxa"/>
              <w:start w:w="70" w:type="dxa"/>
              <w:bottom w:w="70" w:type="dxa"/>
              <w:end w:w="70" w:type="dxa"/>
            </w:tcMar>
          </w:tcPr>
          <w:p>
            <w:pPr>
              <w:jc w:val="left"/>
            </w:pPr>
            <w:r/>
            <w:r>
              <w:rPr>
                <w:rFonts w:ascii="Times New Roman" w:hAnsi="Times New Roman"/>
                <w:b/>
                <w:i w:val="0"/>
                <w:sz w:val="15"/>
              </w:rPr>
              <w:t>No CTRCD median [IQR]</w:t>
            </w:r>
          </w:p>
        </w:tc>
        <w:tc>
          <w:tcPr>
            <w:tcW w:type="dxa" w:w="1800"/>
            <w:shd w:fill="E6ECEE"/>
            <w:tcMar>
              <w:top w:w="70" w:type="dxa"/>
              <w:start w:w="70" w:type="dxa"/>
              <w:bottom w:w="70" w:type="dxa"/>
              <w:end w:w="70" w:type="dxa"/>
            </w:tcMar>
          </w:tcPr>
          <w:p>
            <w:pPr>
              <w:jc w:val="left"/>
            </w:pPr>
            <w:r/>
            <w:r>
              <w:rPr>
                <w:rFonts w:ascii="Times New Roman" w:hAnsi="Times New Roman"/>
                <w:b/>
                <w:i w:val="0"/>
                <w:sz w:val="15"/>
              </w:rPr>
              <w:t>Event-oriented AUROC (95% CI)</w:t>
            </w:r>
          </w:p>
        </w:tc>
        <w:tc>
          <w:tcPr>
            <w:tcW w:type="dxa" w:w="792"/>
            <w:shd w:fill="E6ECEE"/>
            <w:tcMar>
              <w:top w:w="70" w:type="dxa"/>
              <w:start w:w="70" w:type="dxa"/>
              <w:bottom w:w="70" w:type="dxa"/>
              <w:end w:w="70" w:type="dxa"/>
            </w:tcMar>
          </w:tcPr>
          <w:p>
            <w:pPr>
              <w:jc w:val="left"/>
            </w:pPr>
            <w:r/>
            <w:r>
              <w:rPr>
                <w:rFonts w:ascii="Times New Roman" w:hAnsi="Times New Roman"/>
                <w:b/>
                <w:i w:val="0"/>
                <w:sz w:val="15"/>
              </w:rPr>
              <w:t>P</w:t>
            </w:r>
          </w:p>
        </w:tc>
      </w:tr>
      <w:tr>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Transition slope deficit</w:t>
            </w:r>
          </w:p>
        </w:tc>
        <w:tc>
          <w:tcPr>
            <w:tcW w:type="dxa" w:w="2736"/>
            <w:tcMar>
              <w:top w:w="70" w:type="dxa"/>
              <w:start w:w="70" w:type="dxa"/>
              <w:bottom w:w="70" w:type="dxa"/>
              <w:end w:w="70" w:type="dxa"/>
            </w:tcMar>
          </w:tcPr>
          <w:p>
            <w:pPr>
              <w:spacing w:after="0" w:line="240" w:lineRule="auto"/>
            </w:pPr>
            <w:r/>
            <w:r>
              <w:rPr>
                <w:rFonts w:ascii="Times New Roman" w:hAnsi="Times New Roman"/>
                <w:b w:val="0"/>
                <w:i w:val="0"/>
                <w:sz w:val="15"/>
              </w:rPr>
              <w:t>Reduced steepness from peak systolic velocity toward zero</w:t>
            </w:r>
          </w:p>
        </w:tc>
        <w:tc>
          <w:tcPr>
            <w:tcW w:type="dxa" w:w="1656"/>
            <w:tcMar>
              <w:top w:w="70" w:type="dxa"/>
              <w:start w:w="70" w:type="dxa"/>
              <w:bottom w:w="70" w:type="dxa"/>
              <w:end w:w="70" w:type="dxa"/>
            </w:tcMar>
          </w:tcPr>
          <w:p>
            <w:pPr>
              <w:spacing w:after="0" w:line="240" w:lineRule="auto"/>
            </w:pPr>
            <w:r/>
            <w:r>
              <w:rPr>
                <w:rFonts w:ascii="Times New Roman" w:hAnsi="Times New Roman"/>
                <w:b w:val="0"/>
                <w:i w:val="0"/>
                <w:sz w:val="15"/>
              </w:rPr>
              <w:t>120.5 [103.3-164.1]</w:t>
            </w:r>
          </w:p>
        </w:tc>
        <w:tc>
          <w:tcPr>
            <w:tcW w:type="dxa" w:w="1728"/>
            <w:tcMar>
              <w:top w:w="70" w:type="dxa"/>
              <w:start w:w="70" w:type="dxa"/>
              <w:bottom w:w="70" w:type="dxa"/>
              <w:end w:w="70" w:type="dxa"/>
            </w:tcMar>
          </w:tcPr>
          <w:p>
            <w:pPr>
              <w:spacing w:after="0" w:line="240" w:lineRule="auto"/>
            </w:pPr>
            <w:r/>
            <w:r>
              <w:rPr>
                <w:rFonts w:ascii="Times New Roman" w:hAnsi="Times New Roman"/>
                <w:b w:val="0"/>
                <w:i w:val="0"/>
                <w:sz w:val="15"/>
              </w:rPr>
              <w:t>151.0 [122.4-181.9]</w:t>
            </w:r>
          </w:p>
        </w:tc>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0.650 (0.528-0.773)</w:t>
            </w:r>
          </w:p>
        </w:tc>
        <w:tc>
          <w:tcPr>
            <w:tcW w:type="dxa" w:w="792"/>
            <w:tcMar>
              <w:top w:w="70" w:type="dxa"/>
              <w:start w:w="70" w:type="dxa"/>
              <w:bottom w:w="70" w:type="dxa"/>
              <w:end w:w="70" w:type="dxa"/>
            </w:tcMar>
          </w:tcPr>
          <w:p>
            <w:pPr>
              <w:spacing w:after="0" w:line="240" w:lineRule="auto"/>
            </w:pPr>
            <w:r/>
            <w:r>
              <w:rPr>
                <w:rFonts w:ascii="Times New Roman" w:hAnsi="Times New Roman"/>
                <w:b w:val="0"/>
                <w:i w:val="0"/>
                <w:sz w:val="15"/>
              </w:rPr>
              <w:t>0.011</w:t>
            </w:r>
          </w:p>
        </w:tc>
      </w:tr>
      <w:tr>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Transition curvature deficit</w:t>
            </w:r>
          </w:p>
        </w:tc>
        <w:tc>
          <w:tcPr>
            <w:tcW w:type="dxa" w:w="2736"/>
            <w:tcMar>
              <w:top w:w="70" w:type="dxa"/>
              <w:start w:w="70" w:type="dxa"/>
              <w:bottom w:w="70" w:type="dxa"/>
              <w:end w:w="70" w:type="dxa"/>
            </w:tcMar>
          </w:tcPr>
          <w:p>
            <w:pPr>
              <w:spacing w:after="0" w:line="240" w:lineRule="auto"/>
            </w:pPr>
            <w:r/>
            <w:r>
              <w:rPr>
                <w:rFonts w:ascii="Times New Roman" w:hAnsi="Times New Roman"/>
                <w:b w:val="0"/>
                <w:i w:val="0"/>
                <w:sz w:val="15"/>
              </w:rPr>
              <w:t>Blunting of the systolic-to-relaxation bend</w:t>
            </w:r>
          </w:p>
        </w:tc>
        <w:tc>
          <w:tcPr>
            <w:tcW w:type="dxa" w:w="1656"/>
            <w:tcMar>
              <w:top w:w="70" w:type="dxa"/>
              <w:start w:w="70" w:type="dxa"/>
              <w:bottom w:w="70" w:type="dxa"/>
              <w:end w:w="70" w:type="dxa"/>
            </w:tcMar>
          </w:tcPr>
          <w:p>
            <w:pPr>
              <w:spacing w:after="0" w:line="240" w:lineRule="auto"/>
            </w:pPr>
            <w:r/>
            <w:r>
              <w:rPr>
                <w:rFonts w:ascii="Times New Roman" w:hAnsi="Times New Roman"/>
                <w:b w:val="0"/>
                <w:i w:val="0"/>
                <w:sz w:val="15"/>
              </w:rPr>
              <w:t>742.0 [540.3-930.9]</w:t>
            </w:r>
          </w:p>
        </w:tc>
        <w:tc>
          <w:tcPr>
            <w:tcW w:type="dxa" w:w="1728"/>
            <w:tcMar>
              <w:top w:w="70" w:type="dxa"/>
              <w:start w:w="70" w:type="dxa"/>
              <w:bottom w:w="70" w:type="dxa"/>
              <w:end w:w="70" w:type="dxa"/>
            </w:tcMar>
          </w:tcPr>
          <w:p>
            <w:pPr>
              <w:spacing w:after="0" w:line="240" w:lineRule="auto"/>
            </w:pPr>
            <w:r/>
            <w:r>
              <w:rPr>
                <w:rFonts w:ascii="Times New Roman" w:hAnsi="Times New Roman"/>
                <w:b w:val="0"/>
                <w:i w:val="0"/>
                <w:sz w:val="15"/>
              </w:rPr>
              <w:t>909.9 [717.7-1146.5]</w:t>
            </w:r>
          </w:p>
        </w:tc>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0.652 (0.531-0.766)</w:t>
            </w:r>
          </w:p>
        </w:tc>
        <w:tc>
          <w:tcPr>
            <w:tcW w:type="dxa" w:w="792"/>
            <w:tcMar>
              <w:top w:w="70" w:type="dxa"/>
              <w:start w:w="70" w:type="dxa"/>
              <w:bottom w:w="70" w:type="dxa"/>
              <w:end w:w="70" w:type="dxa"/>
            </w:tcMar>
          </w:tcPr>
          <w:p>
            <w:pPr>
              <w:spacing w:after="0" w:line="240" w:lineRule="auto"/>
            </w:pPr>
            <w:r/>
            <w:r>
              <w:rPr>
                <w:rFonts w:ascii="Times New Roman" w:hAnsi="Times New Roman"/>
                <w:b w:val="0"/>
                <w:i w:val="0"/>
                <w:sz w:val="15"/>
              </w:rPr>
              <w:t>0.010</w:t>
            </w:r>
          </w:p>
        </w:tc>
      </w:tr>
      <w:tr>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Early-relaxation latency</w:t>
            </w:r>
          </w:p>
        </w:tc>
        <w:tc>
          <w:tcPr>
            <w:tcW w:type="dxa" w:w="2736"/>
            <w:tcMar>
              <w:top w:w="70" w:type="dxa"/>
              <w:start w:w="70" w:type="dxa"/>
              <w:bottom w:w="70" w:type="dxa"/>
              <w:end w:w="70" w:type="dxa"/>
            </w:tcMar>
          </w:tcPr>
          <w:p>
            <w:pPr>
              <w:spacing w:after="0" w:line="240" w:lineRule="auto"/>
            </w:pPr>
            <w:r/>
            <w:r>
              <w:rPr>
                <w:rFonts w:ascii="Times New Roman" w:hAnsi="Times New Roman"/>
                <w:b w:val="0"/>
                <w:i w:val="0"/>
                <w:sz w:val="15"/>
              </w:rPr>
              <w:t>Delay from systolic termination to E′ peak</w:t>
            </w:r>
          </w:p>
        </w:tc>
        <w:tc>
          <w:tcPr>
            <w:tcW w:type="dxa" w:w="1656"/>
            <w:tcMar>
              <w:top w:w="70" w:type="dxa"/>
              <w:start w:w="70" w:type="dxa"/>
              <w:bottom w:w="70" w:type="dxa"/>
              <w:end w:w="70" w:type="dxa"/>
            </w:tcMar>
          </w:tcPr>
          <w:p>
            <w:pPr>
              <w:spacing w:after="0" w:line="240" w:lineRule="auto"/>
            </w:pPr>
            <w:r/>
            <w:r>
              <w:rPr>
                <w:rFonts w:ascii="Times New Roman" w:hAnsi="Times New Roman"/>
                <w:b w:val="0"/>
                <w:i w:val="0"/>
                <w:sz w:val="15"/>
              </w:rPr>
              <w:t>0.175 [0.150-0.200]</w:t>
            </w:r>
          </w:p>
        </w:tc>
        <w:tc>
          <w:tcPr>
            <w:tcW w:type="dxa" w:w="1728"/>
            <w:tcMar>
              <w:top w:w="70" w:type="dxa"/>
              <w:start w:w="70" w:type="dxa"/>
              <w:bottom w:w="70" w:type="dxa"/>
              <w:end w:w="70" w:type="dxa"/>
            </w:tcMar>
          </w:tcPr>
          <w:p>
            <w:pPr>
              <w:spacing w:after="0" w:line="240" w:lineRule="auto"/>
            </w:pPr>
            <w:r/>
            <w:r>
              <w:rPr>
                <w:rFonts w:ascii="Times New Roman" w:hAnsi="Times New Roman"/>
                <w:b w:val="0"/>
                <w:i w:val="0"/>
                <w:sz w:val="15"/>
              </w:rPr>
              <w:t>0.152 [0.132-0.175]</w:t>
            </w:r>
          </w:p>
        </w:tc>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0.632 (0.510-0.742)</w:t>
            </w:r>
          </w:p>
        </w:tc>
        <w:tc>
          <w:tcPr>
            <w:tcW w:type="dxa" w:w="792"/>
            <w:tcMar>
              <w:top w:w="70" w:type="dxa"/>
              <w:start w:w="70" w:type="dxa"/>
              <w:bottom w:w="70" w:type="dxa"/>
              <w:end w:w="70" w:type="dxa"/>
            </w:tcMar>
          </w:tcPr>
          <w:p>
            <w:pPr>
              <w:spacing w:after="0" w:line="240" w:lineRule="auto"/>
            </w:pPr>
            <w:r/>
            <w:r>
              <w:rPr>
                <w:rFonts w:ascii="Times New Roman" w:hAnsi="Times New Roman"/>
                <w:b w:val="0"/>
                <w:i w:val="0"/>
                <w:sz w:val="15"/>
              </w:rPr>
              <w:t>0.024</w:t>
            </w:r>
          </w:p>
        </w:tc>
      </w:tr>
      <w:tr>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E′ attenuation</w:t>
            </w:r>
          </w:p>
        </w:tc>
        <w:tc>
          <w:tcPr>
            <w:tcW w:type="dxa" w:w="2736"/>
            <w:tcMar>
              <w:top w:w="70" w:type="dxa"/>
              <w:start w:w="70" w:type="dxa"/>
              <w:bottom w:w="70" w:type="dxa"/>
              <w:end w:w="70" w:type="dxa"/>
            </w:tcMar>
          </w:tcPr>
          <w:p>
            <w:pPr>
              <w:spacing w:after="0" w:line="240" w:lineRule="auto"/>
            </w:pPr>
            <w:r/>
            <w:r>
              <w:rPr>
                <w:rFonts w:ascii="Times New Roman" w:hAnsi="Times New Roman"/>
                <w:b w:val="0"/>
                <w:i w:val="0"/>
                <w:sz w:val="15"/>
              </w:rPr>
              <w:t>Reduced absolute E′ peak velocity</w:t>
            </w:r>
          </w:p>
        </w:tc>
        <w:tc>
          <w:tcPr>
            <w:tcW w:type="dxa" w:w="1656"/>
            <w:tcMar>
              <w:top w:w="70" w:type="dxa"/>
              <w:start w:w="70" w:type="dxa"/>
              <w:bottom w:w="70" w:type="dxa"/>
              <w:end w:w="70" w:type="dxa"/>
            </w:tcMar>
          </w:tcPr>
          <w:p>
            <w:pPr>
              <w:spacing w:after="0" w:line="240" w:lineRule="auto"/>
            </w:pPr>
            <w:r/>
            <w:r>
              <w:rPr>
                <w:rFonts w:ascii="Times New Roman" w:hAnsi="Times New Roman"/>
                <w:b w:val="0"/>
                <w:i w:val="0"/>
                <w:sz w:val="15"/>
              </w:rPr>
              <w:t>9.15 [7.89-10.48]</w:t>
            </w:r>
          </w:p>
        </w:tc>
        <w:tc>
          <w:tcPr>
            <w:tcW w:type="dxa" w:w="1728"/>
            <w:tcMar>
              <w:top w:w="70" w:type="dxa"/>
              <w:start w:w="70" w:type="dxa"/>
              <w:bottom w:w="70" w:type="dxa"/>
              <w:end w:w="70" w:type="dxa"/>
            </w:tcMar>
          </w:tcPr>
          <w:p>
            <w:pPr>
              <w:spacing w:after="0" w:line="240" w:lineRule="auto"/>
            </w:pPr>
            <w:r/>
            <w:r>
              <w:rPr>
                <w:rFonts w:ascii="Times New Roman" w:hAnsi="Times New Roman"/>
                <w:b w:val="0"/>
                <w:i w:val="0"/>
                <w:sz w:val="15"/>
              </w:rPr>
              <w:t>10.51 [8.11-12.59]</w:t>
            </w:r>
          </w:p>
        </w:tc>
        <w:tc>
          <w:tcPr>
            <w:tcW w:type="dxa" w:w="1800"/>
            <w:tcMar>
              <w:top w:w="70" w:type="dxa"/>
              <w:start w:w="70" w:type="dxa"/>
              <w:bottom w:w="70" w:type="dxa"/>
              <w:end w:w="70" w:type="dxa"/>
            </w:tcMar>
          </w:tcPr>
          <w:p>
            <w:pPr>
              <w:spacing w:after="0" w:line="240" w:lineRule="auto"/>
            </w:pPr>
            <w:r/>
            <w:r>
              <w:rPr>
                <w:rFonts w:ascii="Times New Roman" w:hAnsi="Times New Roman"/>
                <w:b w:val="0"/>
                <w:i w:val="0"/>
                <w:sz w:val="15"/>
              </w:rPr>
              <w:t>0.621 (0.519-0.714)</w:t>
            </w:r>
          </w:p>
        </w:tc>
        <w:tc>
          <w:tcPr>
            <w:tcW w:type="dxa" w:w="792"/>
            <w:tcMar>
              <w:top w:w="70" w:type="dxa"/>
              <w:start w:w="70" w:type="dxa"/>
              <w:bottom w:w="70" w:type="dxa"/>
              <w:end w:w="70" w:type="dxa"/>
            </w:tcMar>
          </w:tcPr>
          <w:p>
            <w:pPr>
              <w:spacing w:after="0" w:line="240" w:lineRule="auto"/>
            </w:pPr>
            <w:r/>
            <w:r>
              <w:rPr>
                <w:rFonts w:ascii="Times New Roman" w:hAnsi="Times New Roman"/>
                <w:b w:val="0"/>
                <w:i w:val="0"/>
                <w:sz w:val="15"/>
              </w:rPr>
              <w:t>0.039</w:t>
            </w:r>
          </w:p>
        </w:tc>
      </w:tr>
    </w:tbl>
    <w:p>
      <w:r>
        <w:rPr>
          <w:rFonts w:ascii="Times New Roman" w:hAnsi="Times New Roman"/>
          <w:b w:val="0"/>
          <w:i w:val="0"/>
          <w:sz w:val="16"/>
        </w:rPr>
        <w:t>P values are exploratory two-sided Mann-Whitney tests. Higher oriented component values indicate greater abnormality when constructing MTI.</w:t>
      </w:r>
    </w:p>
    <w:p>
      <w:r>
        <w:rPr>
          <w:rFonts w:ascii="Times New Roman" w:hAnsi="Times New Roman"/>
          <w:b/>
          <w:i w:val="0"/>
        </w:rPr>
        <w:t>Panel C. Repeated cross-fitted discrimination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880"/>
            <w:shd w:fill="E6ECEE"/>
            <w:tcMar>
              <w:top w:w="70" w:type="dxa"/>
              <w:start w:w="70" w:type="dxa"/>
              <w:bottom w:w="70" w:type="dxa"/>
              <w:end w:w="70" w:type="dxa"/>
            </w:tcMar>
          </w:tcPr>
          <w:p>
            <w:pPr>
              <w:jc w:val="left"/>
            </w:pPr>
            <w:r/>
            <w:r>
              <w:rPr>
                <w:rFonts w:ascii="Times New Roman" w:hAnsi="Times New Roman"/>
                <w:b/>
                <w:i w:val="0"/>
                <w:sz w:val="16"/>
              </w:rPr>
              <w:t>Model</w:t>
            </w:r>
          </w:p>
        </w:tc>
        <w:tc>
          <w:tcPr>
            <w:tcW w:type="dxa" w:w="2016"/>
            <w:shd w:fill="E6ECEE"/>
            <w:tcMar>
              <w:top w:w="70" w:type="dxa"/>
              <w:start w:w="70" w:type="dxa"/>
              <w:bottom w:w="70" w:type="dxa"/>
              <w:end w:w="70" w:type="dxa"/>
            </w:tcMar>
          </w:tcPr>
          <w:p>
            <w:pPr>
              <w:jc w:val="left"/>
            </w:pPr>
            <w:r/>
            <w:r>
              <w:rPr>
                <w:rFonts w:ascii="Times New Roman" w:hAnsi="Times New Roman"/>
                <w:b/>
                <w:i w:val="0"/>
                <w:sz w:val="16"/>
              </w:rPr>
              <w:t>AUROC (95% CI)</w:t>
            </w:r>
          </w:p>
        </w:tc>
        <w:tc>
          <w:tcPr>
            <w:tcW w:type="dxa" w:w="2016"/>
            <w:shd w:fill="E6ECEE"/>
            <w:tcMar>
              <w:top w:w="70" w:type="dxa"/>
              <w:start w:w="70" w:type="dxa"/>
              <w:bottom w:w="70" w:type="dxa"/>
              <w:end w:w="70" w:type="dxa"/>
            </w:tcMar>
          </w:tcPr>
          <w:p>
            <w:pPr>
              <w:jc w:val="left"/>
            </w:pPr>
            <w:r/>
            <w:r>
              <w:rPr>
                <w:rFonts w:ascii="Times New Roman" w:hAnsi="Times New Roman"/>
                <w:b/>
                <w:i w:val="0"/>
                <w:sz w:val="16"/>
              </w:rPr>
              <w:t>AUPRC (95% CI)</w:t>
            </w:r>
          </w:p>
        </w:tc>
        <w:tc>
          <w:tcPr>
            <w:tcW w:type="dxa" w:w="2088"/>
            <w:shd w:fill="E6ECEE"/>
            <w:tcMar>
              <w:top w:w="70" w:type="dxa"/>
              <w:start w:w="70" w:type="dxa"/>
              <w:bottom w:w="70" w:type="dxa"/>
              <w:end w:w="70" w:type="dxa"/>
            </w:tcMar>
          </w:tcPr>
          <w:p>
            <w:pPr>
              <w:jc w:val="left"/>
            </w:pPr>
            <w:r/>
            <w:r>
              <w:rPr>
                <w:rFonts w:ascii="Times New Roman" w:hAnsi="Times New Roman"/>
                <w:b/>
                <w:i w:val="0"/>
                <w:sz w:val="16"/>
              </w:rPr>
              <w:t>Harrell C-index (95% CI)</w:t>
            </w:r>
          </w:p>
        </w:tc>
        <w:tc>
          <w:tcPr>
            <w:tcW w:type="dxa" w:w="1224"/>
            <w:shd w:fill="E6ECEE"/>
            <w:tcMar>
              <w:top w:w="70" w:type="dxa"/>
              <w:start w:w="70" w:type="dxa"/>
              <w:bottom w:w="70" w:type="dxa"/>
              <w:end w:w="70" w:type="dxa"/>
            </w:tcMar>
          </w:tcPr>
          <w:p>
            <w:pPr>
              <w:jc w:val="left"/>
            </w:pPr>
            <w:r/>
            <w:r>
              <w:rPr>
                <w:rFonts w:ascii="Times New Roman" w:hAnsi="Times New Roman"/>
                <w:b/>
                <w:i w:val="0"/>
                <w:sz w:val="16"/>
              </w:rPr>
              <w:t>1-y AUROC</w:t>
            </w:r>
          </w:p>
        </w:tc>
      </w:tr>
      <w:tr>
        <w:tc>
          <w:tcPr>
            <w:tcW w:type="dxa" w:w="2880"/>
            <w:tcMar>
              <w:top w:w="70" w:type="dxa"/>
              <w:start w:w="70" w:type="dxa"/>
              <w:bottom w:w="70" w:type="dxa"/>
              <w:end w:w="70" w:type="dxa"/>
            </w:tcMar>
          </w:tcPr>
          <w:p>
            <w:pPr>
              <w:spacing w:after="0" w:line="240" w:lineRule="auto"/>
            </w:pPr>
            <w:r/>
            <w:r>
              <w:rPr>
                <w:rFonts w:ascii="Times New Roman" w:hAnsi="Times New Roman"/>
                <w:b w:val="0"/>
                <w:i w:val="0"/>
                <w:sz w:val="16"/>
              </w:rPr>
              <w:t>MTI</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0.695 (0.590-0.794)</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0.192 (0.141-0.321)</w:t>
            </w:r>
          </w:p>
        </w:tc>
        <w:tc>
          <w:tcPr>
            <w:tcW w:type="dxa" w:w="2088"/>
            <w:tcMar>
              <w:top w:w="70" w:type="dxa"/>
              <w:start w:w="70" w:type="dxa"/>
              <w:bottom w:w="70" w:type="dxa"/>
              <w:end w:w="70" w:type="dxa"/>
            </w:tcMar>
          </w:tcPr>
          <w:p>
            <w:pPr>
              <w:spacing w:after="0" w:line="240" w:lineRule="auto"/>
            </w:pPr>
            <w:r/>
            <w:r>
              <w:rPr>
                <w:rFonts w:ascii="Times New Roman" w:hAnsi="Times New Roman"/>
                <w:b w:val="0"/>
                <w:i w:val="0"/>
                <w:sz w:val="16"/>
              </w:rPr>
              <w:t>0.677 (0.570-0.784)</w:t>
            </w:r>
          </w:p>
        </w:tc>
        <w:tc>
          <w:tcPr>
            <w:tcW w:type="dxa" w:w="1224"/>
            <w:tcMar>
              <w:top w:w="70" w:type="dxa"/>
              <w:start w:w="70" w:type="dxa"/>
              <w:bottom w:w="70" w:type="dxa"/>
              <w:end w:w="70" w:type="dxa"/>
            </w:tcMar>
          </w:tcPr>
          <w:p>
            <w:pPr>
              <w:spacing w:after="0" w:line="240" w:lineRule="auto"/>
            </w:pPr>
            <w:r/>
            <w:r>
              <w:rPr>
                <w:rFonts w:ascii="Times New Roman" w:hAnsi="Times New Roman"/>
                <w:b w:val="0"/>
                <w:i w:val="0"/>
                <w:sz w:val="16"/>
              </w:rPr>
              <w:t>0.657</w:t>
            </w:r>
          </w:p>
        </w:tc>
      </w:tr>
      <w:tr>
        <w:tc>
          <w:tcPr>
            <w:tcW w:type="dxa" w:w="2880"/>
            <w:tcMar>
              <w:top w:w="70" w:type="dxa"/>
              <w:start w:w="70" w:type="dxa"/>
              <w:bottom w:w="70" w:type="dxa"/>
              <w:end w:w="70" w:type="dxa"/>
            </w:tcMar>
          </w:tcPr>
          <w:p>
            <w:pPr>
              <w:spacing w:after="0" w:line="240" w:lineRule="auto"/>
            </w:pPr>
            <w:r/>
            <w:r>
              <w:rPr>
                <w:rFonts w:ascii="Times New Roman" w:hAnsi="Times New Roman"/>
                <w:b w:val="0"/>
                <w:i w:val="0"/>
                <w:sz w:val="16"/>
              </w:rPr>
              <w:t>Baseline LVEF</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0.657 (0.549-0.759)</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0.166 (0.121-0.281)</w:t>
            </w:r>
          </w:p>
        </w:tc>
        <w:tc>
          <w:tcPr>
            <w:tcW w:type="dxa" w:w="2088"/>
            <w:tcMar>
              <w:top w:w="70" w:type="dxa"/>
              <w:start w:w="70" w:type="dxa"/>
              <w:bottom w:w="70" w:type="dxa"/>
              <w:end w:w="70" w:type="dxa"/>
            </w:tcMar>
          </w:tcPr>
          <w:p>
            <w:pPr>
              <w:spacing w:after="0" w:line="240" w:lineRule="auto"/>
            </w:pPr>
            <w:r/>
            <w:r>
              <w:rPr>
                <w:rFonts w:ascii="Times New Roman" w:hAnsi="Times New Roman"/>
                <w:b w:val="0"/>
                <w:i w:val="0"/>
                <w:sz w:val="16"/>
              </w:rPr>
              <w:t>0.678 (0.578-0.767)</w:t>
            </w:r>
          </w:p>
        </w:tc>
        <w:tc>
          <w:tcPr>
            <w:tcW w:type="dxa" w:w="1224"/>
            <w:tcMar>
              <w:top w:w="70" w:type="dxa"/>
              <w:start w:w="70" w:type="dxa"/>
              <w:bottom w:w="70" w:type="dxa"/>
              <w:end w:w="70" w:type="dxa"/>
            </w:tcMar>
          </w:tcPr>
          <w:p>
            <w:pPr>
              <w:spacing w:after="0" w:line="240" w:lineRule="auto"/>
            </w:pPr>
            <w:r/>
            <w:r>
              <w:rPr>
                <w:rFonts w:ascii="Times New Roman" w:hAnsi="Times New Roman"/>
                <w:b w:val="0"/>
                <w:i w:val="0"/>
                <w:sz w:val="16"/>
              </w:rPr>
              <w:t>0.672</w:t>
            </w:r>
          </w:p>
        </w:tc>
      </w:tr>
      <w:tr>
        <w:tc>
          <w:tcPr>
            <w:tcW w:type="dxa" w:w="2880"/>
            <w:tcMar>
              <w:top w:w="70" w:type="dxa"/>
              <w:start w:w="70" w:type="dxa"/>
              <w:bottom w:w="70" w:type="dxa"/>
              <w:end w:w="70" w:type="dxa"/>
            </w:tcMar>
          </w:tcPr>
          <w:p>
            <w:pPr>
              <w:spacing w:after="0" w:line="240" w:lineRule="auto"/>
            </w:pPr>
            <w:r/>
            <w:r>
              <w:rPr>
                <w:rFonts w:ascii="Times New Roman" w:hAnsi="Times New Roman"/>
                <w:b w:val="0"/>
                <w:i w:val="0"/>
                <w:sz w:val="16"/>
              </w:rPr>
              <w:t>Published E′ timing/velocity comparator</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0.663 (0.574-0.747)</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0.150 (0.120-0.241)</w:t>
            </w:r>
          </w:p>
        </w:tc>
        <w:tc>
          <w:tcPr>
            <w:tcW w:type="dxa" w:w="2088"/>
            <w:tcMar>
              <w:top w:w="70" w:type="dxa"/>
              <w:start w:w="70" w:type="dxa"/>
              <w:bottom w:w="70" w:type="dxa"/>
              <w:end w:w="70" w:type="dxa"/>
            </w:tcMar>
          </w:tcPr>
          <w:p>
            <w:pPr>
              <w:spacing w:after="0" w:line="240" w:lineRule="auto"/>
            </w:pPr>
            <w:r/>
            <w:r>
              <w:rPr>
                <w:rFonts w:ascii="Times New Roman" w:hAnsi="Times New Roman"/>
                <w:b w:val="0"/>
                <w:i w:val="0"/>
                <w:sz w:val="16"/>
              </w:rPr>
              <w:t>0.660 (0.570-0.750)</w:t>
            </w:r>
          </w:p>
        </w:tc>
        <w:tc>
          <w:tcPr>
            <w:tcW w:type="dxa" w:w="1224"/>
            <w:tcMar>
              <w:top w:w="70" w:type="dxa"/>
              <w:start w:w="70" w:type="dxa"/>
              <w:bottom w:w="70" w:type="dxa"/>
              <w:end w:w="70" w:type="dxa"/>
            </w:tcMar>
          </w:tcPr>
          <w:p>
            <w:pPr>
              <w:spacing w:after="0" w:line="240" w:lineRule="auto"/>
            </w:pPr>
            <w:r/>
            <w:r>
              <w:rPr>
                <w:rFonts w:ascii="Times New Roman" w:hAnsi="Times New Roman"/>
                <w:b w:val="0"/>
                <w:i w:val="0"/>
                <w:sz w:val="16"/>
              </w:rPr>
              <w:t>0.637</w:t>
            </w:r>
          </w:p>
        </w:tc>
      </w:tr>
      <w:tr>
        <w:tc>
          <w:tcPr>
            <w:tcW w:type="dxa" w:w="2880"/>
            <w:tcMar>
              <w:top w:w="70" w:type="dxa"/>
              <w:start w:w="70" w:type="dxa"/>
              <w:bottom w:w="70" w:type="dxa"/>
              <w:end w:w="70" w:type="dxa"/>
            </w:tcMar>
          </w:tcPr>
          <w:p>
            <w:pPr>
              <w:spacing w:after="0" w:line="240" w:lineRule="auto"/>
            </w:pPr>
            <w:r/>
            <w:r>
              <w:rPr>
                <w:rFonts w:ascii="Times New Roman" w:hAnsi="Times New Roman"/>
                <w:b w:val="0"/>
                <w:i w:val="0"/>
                <w:sz w:val="16"/>
              </w:rPr>
              <w:t>MTI + LVEF</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0.712 (0.608-0.807)</w:t>
            </w:r>
          </w:p>
        </w:tc>
        <w:tc>
          <w:tcPr>
            <w:tcW w:type="dxa" w:w="2016"/>
            <w:tcMar>
              <w:top w:w="70" w:type="dxa"/>
              <w:start w:w="70" w:type="dxa"/>
              <w:bottom w:w="70" w:type="dxa"/>
              <w:end w:w="70" w:type="dxa"/>
            </w:tcMar>
          </w:tcPr>
          <w:p>
            <w:pPr>
              <w:spacing w:after="0" w:line="240" w:lineRule="auto"/>
            </w:pPr>
            <w:r/>
            <w:r>
              <w:rPr>
                <w:rFonts w:ascii="Times New Roman" w:hAnsi="Times New Roman"/>
                <w:b w:val="0"/>
                <w:i w:val="0"/>
                <w:sz w:val="16"/>
              </w:rPr>
              <w:t>0.211 (0.153-0.357)</w:t>
            </w:r>
          </w:p>
        </w:tc>
        <w:tc>
          <w:tcPr>
            <w:tcW w:type="dxa" w:w="2088"/>
            <w:tcMar>
              <w:top w:w="70" w:type="dxa"/>
              <w:start w:w="70" w:type="dxa"/>
              <w:bottom w:w="70" w:type="dxa"/>
              <w:end w:w="70" w:type="dxa"/>
            </w:tcMar>
          </w:tcPr>
          <w:p>
            <w:pPr>
              <w:spacing w:after="0" w:line="240" w:lineRule="auto"/>
            </w:pPr>
            <w:r/>
            <w:r>
              <w:rPr>
                <w:rFonts w:ascii="Times New Roman" w:hAnsi="Times New Roman"/>
                <w:b w:val="0"/>
                <w:i w:val="0"/>
                <w:sz w:val="16"/>
              </w:rPr>
              <w:t>0.715 (0.611-0.810)</w:t>
            </w:r>
          </w:p>
        </w:tc>
        <w:tc>
          <w:tcPr>
            <w:tcW w:type="dxa" w:w="1224"/>
            <w:tcMar>
              <w:top w:w="70" w:type="dxa"/>
              <w:start w:w="70" w:type="dxa"/>
              <w:bottom w:w="70" w:type="dxa"/>
              <w:end w:w="70" w:type="dxa"/>
            </w:tcMar>
          </w:tcPr>
          <w:p>
            <w:pPr>
              <w:spacing w:after="0" w:line="240" w:lineRule="auto"/>
            </w:pPr>
            <w:r/>
            <w:r>
              <w:rPr>
                <w:rFonts w:ascii="Times New Roman" w:hAnsi="Times New Roman"/>
                <w:b w:val="0"/>
                <w:i w:val="0"/>
                <w:sz w:val="16"/>
              </w:rPr>
              <w:t>0.707</w:t>
            </w:r>
          </w:p>
        </w:tc>
      </w:tr>
    </w:tbl>
    <w:p>
      <w:r>
        <w:rPr>
          <w:rFonts w:ascii="Times New Roman" w:hAnsi="Times New Roman"/>
          <w:b w:val="0"/>
          <w:i w:val="0"/>
          <w:sz w:val="16"/>
        </w:rPr>
        <w:t>The paired difference for MTI + LVEF versus LVEF was +0.055 for AUROC (95% CI, -0.040 to 0.153) and +0.037 for C-index (95% CI, -0.059 to 0.137); superiority was not established.</w:t>
      </w:r>
    </w:p>
    <w:p>
      <w:r>
        <w:rPr>
          <w:rFonts w:ascii="Times New Roman" w:hAnsi="Times New Roman"/>
          <w:b/>
          <w:i w:val="0"/>
        </w:rPr>
        <w:t>Panel D. Association with time to CTRCD and robustness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4896"/>
            <w:shd w:fill="E6ECEE"/>
            <w:tcMar>
              <w:top w:w="70" w:type="dxa"/>
              <w:start w:w="70" w:type="dxa"/>
              <w:bottom w:w="70" w:type="dxa"/>
              <w:end w:w="70" w:type="dxa"/>
            </w:tcMar>
          </w:tcPr>
          <w:p>
            <w:pPr>
              <w:jc w:val="left"/>
            </w:pPr>
            <w:r/>
            <w:r>
              <w:rPr>
                <w:rFonts w:ascii="Times New Roman" w:hAnsi="Times New Roman"/>
                <w:b/>
                <w:i w:val="0"/>
                <w:sz w:val="16"/>
              </w:rPr>
              <w:t>Analysis</w:t>
            </w:r>
          </w:p>
        </w:tc>
        <w:tc>
          <w:tcPr>
            <w:tcW w:type="dxa" w:w="1440"/>
            <w:shd w:fill="E6ECEE"/>
            <w:tcMar>
              <w:top w:w="70" w:type="dxa"/>
              <w:start w:w="70" w:type="dxa"/>
              <w:bottom w:w="70" w:type="dxa"/>
              <w:end w:w="70" w:type="dxa"/>
            </w:tcMar>
          </w:tcPr>
          <w:p>
            <w:pPr>
              <w:jc w:val="left"/>
            </w:pPr>
            <w:r/>
            <w:r>
              <w:rPr>
                <w:rFonts w:ascii="Times New Roman" w:hAnsi="Times New Roman"/>
                <w:b/>
                <w:i w:val="0"/>
                <w:sz w:val="16"/>
              </w:rPr>
              <w:t>n / events</w:t>
            </w:r>
          </w:p>
        </w:tc>
        <w:tc>
          <w:tcPr>
            <w:tcW w:type="dxa" w:w="2376"/>
            <w:shd w:fill="E6ECEE"/>
            <w:tcMar>
              <w:top w:w="70" w:type="dxa"/>
              <w:start w:w="70" w:type="dxa"/>
              <w:bottom w:w="70" w:type="dxa"/>
              <w:end w:w="70" w:type="dxa"/>
            </w:tcMar>
          </w:tcPr>
          <w:p>
            <w:pPr>
              <w:jc w:val="left"/>
            </w:pPr>
            <w:r/>
            <w:r>
              <w:rPr>
                <w:rFonts w:ascii="Times New Roman" w:hAnsi="Times New Roman"/>
                <w:b/>
                <w:i w:val="0"/>
                <w:sz w:val="16"/>
              </w:rPr>
              <w:t>MTI HR per 1 SD (95% CI)</w:t>
            </w:r>
          </w:p>
        </w:tc>
        <w:tc>
          <w:tcPr>
            <w:tcW w:type="dxa" w:w="1008"/>
            <w:shd w:fill="E6ECEE"/>
            <w:tcMar>
              <w:top w:w="70" w:type="dxa"/>
              <w:start w:w="70" w:type="dxa"/>
              <w:bottom w:w="70" w:type="dxa"/>
              <w:end w:w="70" w:type="dxa"/>
            </w:tcMar>
          </w:tcPr>
          <w:p>
            <w:pPr>
              <w:jc w:val="left"/>
            </w:pPr>
            <w:r/>
            <w:r>
              <w:rPr>
                <w:rFonts w:ascii="Times New Roman" w:hAnsi="Times New Roman"/>
                <w:b/>
                <w:i w:val="0"/>
                <w:sz w:val="16"/>
              </w:rPr>
              <w:t>P</w:t>
            </w:r>
          </w:p>
        </w:tc>
      </w:tr>
      <w:tr>
        <w:tc>
          <w:tcPr>
            <w:tcW w:type="dxa" w:w="4896"/>
            <w:tcMar>
              <w:top w:w="70" w:type="dxa"/>
              <w:start w:w="70" w:type="dxa"/>
              <w:bottom w:w="70" w:type="dxa"/>
              <w:end w:w="70" w:type="dxa"/>
            </w:tcMar>
          </w:tcPr>
          <w:p>
            <w:pPr>
              <w:spacing w:after="0" w:line="240" w:lineRule="auto"/>
            </w:pPr>
            <w:r/>
            <w:r>
              <w:rPr>
                <w:rFonts w:ascii="Times New Roman" w:hAnsi="Times New Roman"/>
                <w:b w:val="0"/>
                <w:i w:val="0"/>
                <w:sz w:val="16"/>
              </w:rPr>
              <w:t>MTI unadjusted</w:t>
            </w:r>
          </w:p>
        </w:tc>
        <w:tc>
          <w:tcPr>
            <w:tcW w:type="dxa" w:w="1440"/>
            <w:tcMar>
              <w:top w:w="70" w:type="dxa"/>
              <w:start w:w="70" w:type="dxa"/>
              <w:bottom w:w="70" w:type="dxa"/>
              <w:end w:w="70" w:type="dxa"/>
            </w:tcMar>
          </w:tcPr>
          <w:p>
            <w:pPr>
              <w:spacing w:after="0" w:line="240" w:lineRule="auto"/>
            </w:pPr>
            <w:r/>
            <w:r>
              <w:rPr>
                <w:rFonts w:ascii="Times New Roman" w:hAnsi="Times New Roman"/>
                <w:b w:val="0"/>
                <w:i w:val="0"/>
                <w:sz w:val="16"/>
              </w:rPr>
              <w:t>270 / 27</w:t>
            </w:r>
          </w:p>
        </w:tc>
        <w:tc>
          <w:tcPr>
            <w:tcW w:type="dxa" w:w="2376"/>
            <w:tcMar>
              <w:top w:w="70" w:type="dxa"/>
              <w:start w:w="70" w:type="dxa"/>
              <w:bottom w:w="70" w:type="dxa"/>
              <w:end w:w="70" w:type="dxa"/>
            </w:tcMar>
          </w:tcPr>
          <w:p>
            <w:pPr>
              <w:spacing w:after="0" w:line="240" w:lineRule="auto"/>
            </w:pPr>
            <w:r/>
            <w:r>
              <w:rPr>
                <w:rFonts w:ascii="Times New Roman" w:hAnsi="Times New Roman"/>
                <w:b w:val="0"/>
                <w:i w:val="0"/>
                <w:sz w:val="16"/>
              </w:rPr>
              <w:t>2.37 (1.49-3.78)</w:t>
            </w:r>
          </w:p>
        </w:tc>
        <w:tc>
          <w:tcPr>
            <w:tcW w:type="dxa" w:w="1008"/>
            <w:tcMar>
              <w:top w:w="70" w:type="dxa"/>
              <w:start w:w="70" w:type="dxa"/>
              <w:bottom w:w="70" w:type="dxa"/>
              <w:end w:w="70" w:type="dxa"/>
            </w:tcMar>
          </w:tcPr>
          <w:p>
            <w:pPr>
              <w:spacing w:after="0" w:line="240" w:lineRule="auto"/>
            </w:pPr>
            <w:r/>
            <w:r>
              <w:rPr>
                <w:rFonts w:ascii="Times New Roman" w:hAnsi="Times New Roman"/>
                <w:b w:val="0"/>
                <w:i w:val="0"/>
                <w:sz w:val="16"/>
              </w:rPr>
              <w:t>&lt;0.001</w:t>
            </w:r>
          </w:p>
        </w:tc>
      </w:tr>
      <w:tr>
        <w:tc>
          <w:tcPr>
            <w:tcW w:type="dxa" w:w="4896"/>
            <w:tcMar>
              <w:top w:w="70" w:type="dxa"/>
              <w:start w:w="70" w:type="dxa"/>
              <w:bottom w:w="70" w:type="dxa"/>
              <w:end w:w="70" w:type="dxa"/>
            </w:tcMar>
          </w:tcPr>
          <w:p>
            <w:pPr>
              <w:spacing w:after="0" w:line="240" w:lineRule="auto"/>
            </w:pPr>
            <w:r/>
            <w:r>
              <w:rPr>
                <w:rFonts w:ascii="Times New Roman" w:hAnsi="Times New Roman"/>
                <w:b w:val="0"/>
                <w:i w:val="0"/>
                <w:sz w:val="16"/>
              </w:rPr>
              <w:t>Adjusted for LVEF</w:t>
            </w:r>
          </w:p>
        </w:tc>
        <w:tc>
          <w:tcPr>
            <w:tcW w:type="dxa" w:w="1440"/>
            <w:tcMar>
              <w:top w:w="70" w:type="dxa"/>
              <w:start w:w="70" w:type="dxa"/>
              <w:bottom w:w="70" w:type="dxa"/>
              <w:end w:w="70" w:type="dxa"/>
            </w:tcMar>
          </w:tcPr>
          <w:p>
            <w:pPr>
              <w:spacing w:after="0" w:line="240" w:lineRule="auto"/>
            </w:pPr>
            <w:r/>
            <w:r>
              <w:rPr>
                <w:rFonts w:ascii="Times New Roman" w:hAnsi="Times New Roman"/>
                <w:b w:val="0"/>
                <w:i w:val="0"/>
                <w:sz w:val="16"/>
              </w:rPr>
              <w:t>270 / 27</w:t>
            </w:r>
          </w:p>
        </w:tc>
        <w:tc>
          <w:tcPr>
            <w:tcW w:type="dxa" w:w="2376"/>
            <w:tcMar>
              <w:top w:w="70" w:type="dxa"/>
              <w:start w:w="70" w:type="dxa"/>
              <w:bottom w:w="70" w:type="dxa"/>
              <w:end w:w="70" w:type="dxa"/>
            </w:tcMar>
          </w:tcPr>
          <w:p>
            <w:pPr>
              <w:spacing w:after="0" w:line="240" w:lineRule="auto"/>
            </w:pPr>
            <w:r/>
            <w:r>
              <w:rPr>
                <w:rFonts w:ascii="Times New Roman" w:hAnsi="Times New Roman"/>
                <w:b w:val="0"/>
                <w:i w:val="0"/>
                <w:sz w:val="16"/>
              </w:rPr>
              <w:t>2.20 (1.36-3.55)</w:t>
            </w:r>
          </w:p>
        </w:tc>
        <w:tc>
          <w:tcPr>
            <w:tcW w:type="dxa" w:w="1008"/>
            <w:tcMar>
              <w:top w:w="70" w:type="dxa"/>
              <w:start w:w="70" w:type="dxa"/>
              <w:bottom w:w="70" w:type="dxa"/>
              <w:end w:w="70" w:type="dxa"/>
            </w:tcMar>
          </w:tcPr>
          <w:p>
            <w:pPr>
              <w:spacing w:after="0" w:line="240" w:lineRule="auto"/>
            </w:pPr>
            <w:r/>
            <w:r>
              <w:rPr>
                <w:rFonts w:ascii="Times New Roman" w:hAnsi="Times New Roman"/>
                <w:b w:val="0"/>
                <w:i w:val="0"/>
                <w:sz w:val="16"/>
              </w:rPr>
              <w:t>0.001</w:t>
            </w:r>
          </w:p>
        </w:tc>
      </w:tr>
      <w:tr>
        <w:tc>
          <w:tcPr>
            <w:tcW w:type="dxa" w:w="4896"/>
            <w:tcMar>
              <w:top w:w="70" w:type="dxa"/>
              <w:start w:w="70" w:type="dxa"/>
              <w:bottom w:w="70" w:type="dxa"/>
              <w:end w:w="70" w:type="dxa"/>
            </w:tcMar>
          </w:tcPr>
          <w:p>
            <w:pPr>
              <w:spacing w:after="0" w:line="240" w:lineRule="auto"/>
            </w:pPr>
            <w:r/>
            <w:r>
              <w:rPr>
                <w:rFonts w:ascii="Times New Roman" w:hAnsi="Times New Roman"/>
                <w:b w:val="0"/>
                <w:i w:val="0"/>
                <w:sz w:val="16"/>
              </w:rPr>
              <w:t>Adjusted for age + LVEF</w:t>
            </w:r>
          </w:p>
        </w:tc>
        <w:tc>
          <w:tcPr>
            <w:tcW w:type="dxa" w:w="1440"/>
            <w:tcMar>
              <w:top w:w="70" w:type="dxa"/>
              <w:start w:w="70" w:type="dxa"/>
              <w:bottom w:w="70" w:type="dxa"/>
              <w:end w:w="70" w:type="dxa"/>
            </w:tcMar>
          </w:tcPr>
          <w:p>
            <w:pPr>
              <w:spacing w:after="0" w:line="240" w:lineRule="auto"/>
            </w:pPr>
            <w:r/>
            <w:r>
              <w:rPr>
                <w:rFonts w:ascii="Times New Roman" w:hAnsi="Times New Roman"/>
                <w:b w:val="0"/>
                <w:i w:val="0"/>
                <w:sz w:val="16"/>
              </w:rPr>
              <w:t>270 / 27</w:t>
            </w:r>
          </w:p>
        </w:tc>
        <w:tc>
          <w:tcPr>
            <w:tcW w:type="dxa" w:w="2376"/>
            <w:tcMar>
              <w:top w:w="70" w:type="dxa"/>
              <w:start w:w="70" w:type="dxa"/>
              <w:bottom w:w="70" w:type="dxa"/>
              <w:end w:w="70" w:type="dxa"/>
            </w:tcMar>
          </w:tcPr>
          <w:p>
            <w:pPr>
              <w:spacing w:after="0" w:line="240" w:lineRule="auto"/>
            </w:pPr>
            <w:r/>
            <w:r>
              <w:rPr>
                <w:rFonts w:ascii="Times New Roman" w:hAnsi="Times New Roman"/>
                <w:b w:val="0"/>
                <w:i w:val="0"/>
                <w:sz w:val="16"/>
              </w:rPr>
              <w:t>2.19 (1.34-3.58)</w:t>
            </w:r>
          </w:p>
        </w:tc>
        <w:tc>
          <w:tcPr>
            <w:tcW w:type="dxa" w:w="1008"/>
            <w:tcMar>
              <w:top w:w="70" w:type="dxa"/>
              <w:start w:w="70" w:type="dxa"/>
              <w:bottom w:w="70" w:type="dxa"/>
              <w:end w:w="70" w:type="dxa"/>
            </w:tcMar>
          </w:tcPr>
          <w:p>
            <w:pPr>
              <w:spacing w:after="0" w:line="240" w:lineRule="auto"/>
            </w:pPr>
            <w:r/>
            <w:r>
              <w:rPr>
                <w:rFonts w:ascii="Times New Roman" w:hAnsi="Times New Roman"/>
                <w:b w:val="0"/>
                <w:i w:val="0"/>
                <w:sz w:val="16"/>
              </w:rPr>
              <w:t>0.002</w:t>
            </w:r>
          </w:p>
        </w:tc>
      </w:tr>
      <w:tr>
        <w:tc>
          <w:tcPr>
            <w:tcW w:type="dxa" w:w="4896"/>
            <w:tcMar>
              <w:top w:w="70" w:type="dxa"/>
              <w:start w:w="70" w:type="dxa"/>
              <w:bottom w:w="70" w:type="dxa"/>
              <w:end w:w="70" w:type="dxa"/>
            </w:tcMar>
          </w:tcPr>
          <w:p>
            <w:pPr>
              <w:spacing w:after="0" w:line="240" w:lineRule="auto"/>
            </w:pPr>
            <w:r/>
            <w:r>
              <w:rPr>
                <w:rFonts w:ascii="Times New Roman" w:hAnsi="Times New Roman"/>
                <w:b w:val="0"/>
                <w:i w:val="0"/>
                <w:sz w:val="16"/>
              </w:rPr>
              <w:t>Adjusted for age + LVEF + anthracycline + anti-HER2</w:t>
            </w:r>
          </w:p>
        </w:tc>
        <w:tc>
          <w:tcPr>
            <w:tcW w:type="dxa" w:w="1440"/>
            <w:tcMar>
              <w:top w:w="70" w:type="dxa"/>
              <w:start w:w="70" w:type="dxa"/>
              <w:bottom w:w="70" w:type="dxa"/>
              <w:end w:w="70" w:type="dxa"/>
            </w:tcMar>
          </w:tcPr>
          <w:p>
            <w:pPr>
              <w:spacing w:after="0" w:line="240" w:lineRule="auto"/>
            </w:pPr>
            <w:r/>
            <w:r>
              <w:rPr>
                <w:rFonts w:ascii="Times New Roman" w:hAnsi="Times New Roman"/>
                <w:b w:val="0"/>
                <w:i w:val="0"/>
                <w:sz w:val="16"/>
              </w:rPr>
              <w:t>248 / 24</w:t>
            </w:r>
          </w:p>
        </w:tc>
        <w:tc>
          <w:tcPr>
            <w:tcW w:type="dxa" w:w="2376"/>
            <w:tcMar>
              <w:top w:w="70" w:type="dxa"/>
              <w:start w:w="70" w:type="dxa"/>
              <w:bottom w:w="70" w:type="dxa"/>
              <w:end w:w="70" w:type="dxa"/>
            </w:tcMar>
          </w:tcPr>
          <w:p>
            <w:pPr>
              <w:spacing w:after="0" w:line="240" w:lineRule="auto"/>
            </w:pPr>
            <w:r/>
            <w:r>
              <w:rPr>
                <w:rFonts w:ascii="Times New Roman" w:hAnsi="Times New Roman"/>
                <w:b w:val="0"/>
                <w:i w:val="0"/>
                <w:sz w:val="16"/>
              </w:rPr>
              <w:t>1.95 (1.19-3.18)</w:t>
            </w:r>
          </w:p>
        </w:tc>
        <w:tc>
          <w:tcPr>
            <w:tcW w:type="dxa" w:w="1008"/>
            <w:tcMar>
              <w:top w:w="70" w:type="dxa"/>
              <w:start w:w="70" w:type="dxa"/>
              <w:bottom w:w="70" w:type="dxa"/>
              <w:end w:w="70" w:type="dxa"/>
            </w:tcMar>
          </w:tcPr>
          <w:p>
            <w:pPr>
              <w:spacing w:after="0" w:line="240" w:lineRule="auto"/>
            </w:pPr>
            <w:r/>
            <w:r>
              <w:rPr>
                <w:rFonts w:ascii="Times New Roman" w:hAnsi="Times New Roman"/>
                <w:b w:val="0"/>
                <w:i w:val="0"/>
                <w:sz w:val="16"/>
              </w:rPr>
              <w:t>0.008</w:t>
            </w:r>
          </w:p>
        </w:tc>
      </w:tr>
      <w:tr>
        <w:tc>
          <w:tcPr>
            <w:tcW w:type="dxa" w:w="4896"/>
            <w:tcMar>
              <w:top w:w="70" w:type="dxa"/>
              <w:start w:w="70" w:type="dxa"/>
              <w:bottom w:w="70" w:type="dxa"/>
              <w:end w:w="70" w:type="dxa"/>
            </w:tcMar>
          </w:tcPr>
          <w:p>
            <w:pPr>
              <w:spacing w:after="0" w:line="240" w:lineRule="auto"/>
            </w:pPr>
            <w:r/>
            <w:r>
              <w:rPr>
                <w:rFonts w:ascii="Times New Roman" w:hAnsi="Times New Roman"/>
                <w:b w:val="0"/>
                <w:i w:val="0"/>
                <w:sz w:val="16"/>
              </w:rPr>
              <w:t>Baseline LVEF &gt;=50%, adjusted for LVEF</w:t>
            </w:r>
          </w:p>
        </w:tc>
        <w:tc>
          <w:tcPr>
            <w:tcW w:type="dxa" w:w="1440"/>
            <w:tcMar>
              <w:top w:w="70" w:type="dxa"/>
              <w:start w:w="70" w:type="dxa"/>
              <w:bottom w:w="70" w:type="dxa"/>
              <w:end w:w="70" w:type="dxa"/>
            </w:tcMar>
          </w:tcPr>
          <w:p>
            <w:pPr>
              <w:spacing w:after="0" w:line="240" w:lineRule="auto"/>
            </w:pPr>
            <w:r/>
            <w:r>
              <w:rPr>
                <w:rFonts w:ascii="Times New Roman" w:hAnsi="Times New Roman"/>
                <w:b w:val="0"/>
                <w:i w:val="0"/>
                <w:sz w:val="16"/>
              </w:rPr>
              <w:t>261 / 26</w:t>
            </w:r>
          </w:p>
        </w:tc>
        <w:tc>
          <w:tcPr>
            <w:tcW w:type="dxa" w:w="2376"/>
            <w:tcMar>
              <w:top w:w="70" w:type="dxa"/>
              <w:start w:w="70" w:type="dxa"/>
              <w:bottom w:w="70" w:type="dxa"/>
              <w:end w:w="70" w:type="dxa"/>
            </w:tcMar>
          </w:tcPr>
          <w:p>
            <w:pPr>
              <w:spacing w:after="0" w:line="240" w:lineRule="auto"/>
            </w:pPr>
            <w:r/>
            <w:r>
              <w:rPr>
                <w:rFonts w:ascii="Times New Roman" w:hAnsi="Times New Roman"/>
                <w:b w:val="0"/>
                <w:i w:val="0"/>
                <w:sz w:val="16"/>
              </w:rPr>
              <w:t>2.22 (1.41-3.51)</w:t>
            </w:r>
          </w:p>
        </w:tc>
        <w:tc>
          <w:tcPr>
            <w:tcW w:type="dxa" w:w="1008"/>
            <w:tcMar>
              <w:top w:w="70" w:type="dxa"/>
              <w:start w:w="70" w:type="dxa"/>
              <w:bottom w:w="70" w:type="dxa"/>
              <w:end w:w="70" w:type="dxa"/>
            </w:tcMar>
          </w:tcPr>
          <w:p>
            <w:pPr>
              <w:spacing w:after="0" w:line="240" w:lineRule="auto"/>
            </w:pPr>
            <w:r/>
            <w:r>
              <w:rPr>
                <w:rFonts w:ascii="Times New Roman" w:hAnsi="Times New Roman"/>
                <w:b w:val="0"/>
                <w:i w:val="0"/>
                <w:sz w:val="16"/>
              </w:rPr>
              <w:t>&lt;0.001</w:t>
            </w:r>
          </w:p>
        </w:tc>
      </w:tr>
    </w:tbl>
    <w:p>
      <w:r>
        <w:rPr>
          <w:rFonts w:ascii="Times New Roman" w:hAnsi="Times New Roman"/>
          <w:b w:val="0"/>
          <w:i w:val="0"/>
          <w:sz w:val="16"/>
        </w:rPr>
        <w:t>CTRCD occurred in 5/90, 6/90, and 16/90 women in increasing MTI tertiles. A restricted-cubic-spline model showed no evidence of departure from a linear MTI-risk association (P for nonlinearity=0.999). In an exploratory surveillance-efficiency analysis using held-out MTI + LVEF risk rankings, the highest-risk 20% contained 13/27 future events (48.1%) and had PPV 24.1%, compared with 10.0% cohort prevalence. Across Savitzky-Golay windows of 21 to 61 samples, MTI AUROC ranged from 0.686 to 0.710 and C-index from 0.673 to 0.694. Women with complete TDI differed from women without processed TDI in age (SMD 0.45), follow-up duration (SMD -0.41), anti-HER2 exposure (SMD -0.34), and hypertension (SMD 0.22), while CTRCD prevalence was similar (SMD -0.01). Abbreviations: AUPRC, area under the precision-recall curve; AUROC, area under the receiver-operating-characteristic curve; CTRCD, cancer therapy-related cardiac dysfunction; HR, hazard ratio; LVEF, left ventricular ejection fraction; MTI, Mechanical Transition Instability; TDI, Tissue Doppler imaging.</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Transition Instability on Pretreatment Tissue Doppler Imaging and Risk of CTRCD</dc:title>
  <dc:subject>JCF Brief Report blinded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