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r>
        <w:br/>
      </w:r>
    </w:p>
    <w:p>
      <w:pPr>
        <w:pStyle w:val="Title"/>
        <w:jc w:val="center"/>
      </w:pPr>
      <w:r>
        <w:t>Commercial Digital Twin</w:t>
        <w:br/>
        <w:t>Research Agent Guide</w:t>
      </w:r>
    </w:p>
    <w:p>
      <w:pPr>
        <w:pStyle w:val="Subtitle"/>
        <w:jc w:val="center"/>
      </w:pPr>
      <w:r>
        <w:t>A research execution guide for constructing deep, evidence-backed enterprise blueprints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5"/>
          </w:tcPr>
          <w:p>
            <w:pPr>
              <w:jc w:val="left"/>
            </w:pPr>
            <w:r/>
            <w:r>
              <w:rPr>
                <w:b/>
                <w:color w:val="172A3A"/>
                <w:sz w:val="20"/>
              </w:rPr>
              <w:t>Mission: reconstruct how the enterprise is controlled, makes money, consumes resources, executes change and is likely to perform next — then identify where a flagship AI transformation could alter that trajectory.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0.2 working draft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9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Proposed research-agent companion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Rob / CIOS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Canonical contract</w:t>
            </w:r>
          </w:p>
        </w:tc>
        <w:tc>
          <w:tcPr>
            <w:tcW w:type="dxa" w:w="69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Commercial-Digital-Twin-Blueprint-Contract.md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Proposed repository path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research/agents/enterprise-blueprint-researcher/Commercial-Digital-Twin-Research-Agent-Guide.docx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Primary user</w:t>
            </w:r>
          </w:p>
        </w:tc>
        <w:tc>
          <w:tcPr>
            <w:tcW w:type="dxa" w:w="69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Strategic sales director shaping material enterprise reinvention</w:t>
            </w:r>
          </w:p>
        </w:tc>
      </w:tr>
    </w:tbl>
    <w:p/>
    <w:p/>
    <w:p>
      <w:pPr>
        <w:pStyle w:val="SmallText"/>
        <w:jc w:val="center"/>
      </w:pPr>
      <w:r>
        <w:t>This guide is derived from the canonical Twin Contract. If the documents diverge, the Markdown Contract wins.</w:t>
      </w:r>
    </w:p>
    <w:p>
      <w:r>
        <w:br w:type="page"/>
      </w:r>
    </w:p>
    <w:p>
      <w:pPr>
        <w:pStyle w:val="Heading1"/>
      </w:pPr>
      <w:r>
        <w:t>1. How to use this guide</w:t>
      </w:r>
    </w:p>
    <w:p>
      <w:r>
        <w:t>Upload this document into the Enterprise Blueprint Researcher together with the authoritative CIOS architecture documents listed below. Use it as the agent’s operational instruction set for each enterprise research run.</w:t>
      </w:r>
    </w:p>
    <w:p>
      <w:pPr>
        <w:pStyle w:val="ListBullet"/>
        <w:spacing w:after="40"/>
      </w:pPr>
      <w:r>
        <w:rPr>
          <w:b/>
        </w:rPr>
        <w:t xml:space="preserve">Do not treat it as a company-summary template. </w:t>
      </w:r>
      <w:r>
        <w:t>The objective is a causal reconstruction of the enterprise.</w:t>
      </w:r>
    </w:p>
    <w:p>
      <w:pPr>
        <w:pStyle w:val="ListBullet"/>
        <w:spacing w:after="40"/>
      </w:pPr>
      <w:r>
        <w:rPr>
          <w:b/>
        </w:rPr>
        <w:t xml:space="preserve">Do not guess through missing evidence. </w:t>
      </w:r>
      <w:r>
        <w:t>Preserve Unknowns, competing explanations and contradictions.</w:t>
      </w:r>
    </w:p>
    <w:p>
      <w:pPr>
        <w:pStyle w:val="ListBullet"/>
        <w:spacing w:after="40"/>
      </w:pPr>
      <w:r>
        <w:rPr>
          <w:b/>
        </w:rPr>
        <w:t xml:space="preserve">Do not jump to opportunities. </w:t>
      </w:r>
      <w:r>
        <w:t>Build the enterprise mechanics before proposing flagship transformation theses.</w:t>
      </w:r>
    </w:p>
    <w:p>
      <w:pPr>
        <w:pStyle w:val="ListBullet"/>
        <w:spacing w:after="40"/>
      </w:pPr>
      <w:r>
        <w:rPr>
          <w:b/>
        </w:rPr>
        <w:t xml:space="preserve">Do not confuse agent output with canonical truth. </w:t>
      </w:r>
      <w:r>
        <w:t>The Blueprint is candidate intelligence until reviewed and accepted.</w:t>
      </w:r>
    </w:p>
    <w:p>
      <w:pPr>
        <w:pStyle w:val="Heading2"/>
      </w:pPr>
      <w:r>
        <w:t>Recommended knowledge pack</w:t>
      </w:r>
    </w:p>
    <w:p>
      <w:pPr>
        <w:pStyle w:val="ListBullet"/>
        <w:spacing w:after="40"/>
      </w:pPr>
      <w:r>
        <w:t>CIOS Reference Architecture v1.0</w:t>
      </w:r>
    </w:p>
    <w:p>
      <w:pPr>
        <w:pStyle w:val="ListBullet"/>
        <w:spacing w:after="40"/>
      </w:pPr>
      <w:r>
        <w:t>CIOS Chief Architect Handbook</w:t>
      </w:r>
    </w:p>
    <w:p>
      <w:pPr>
        <w:pStyle w:val="ListBullet"/>
        <w:spacing w:after="40"/>
      </w:pPr>
      <w:r>
        <w:t>CIOS Design Doctrine and Architecture Principles</w:t>
      </w:r>
    </w:p>
    <w:p>
      <w:pPr>
        <w:pStyle w:val="ListBullet"/>
        <w:spacing w:after="40"/>
      </w:pPr>
      <w:r>
        <w:t>EI-001 Enterprise Model Specification</w:t>
      </w:r>
    </w:p>
    <w:p>
      <w:pPr>
        <w:pStyle w:val="ListBullet"/>
        <w:spacing w:after="40"/>
      </w:pPr>
      <w:r>
        <w:t>EI-002 Enterprise Knowledge Graph</w:t>
      </w:r>
    </w:p>
    <w:p>
      <w:pPr>
        <w:pStyle w:val="ListBullet"/>
        <w:spacing w:after="40"/>
      </w:pPr>
      <w:r>
        <w:t>EI-003 Enterprise Behaviour Model</w:t>
      </w:r>
    </w:p>
    <w:p>
      <w:pPr>
        <w:pStyle w:val="ListBullet"/>
        <w:spacing w:after="40"/>
      </w:pPr>
      <w:r>
        <w:t>EI-012 Enterprise Observation Model</w:t>
      </w:r>
    </w:p>
    <w:p>
      <w:pPr>
        <w:pStyle w:val="ListBullet"/>
        <w:spacing w:after="40"/>
      </w:pPr>
      <w:r>
        <w:t>FP-009 Hypothesis Validation Standard</w:t>
      </w:r>
    </w:p>
    <w:p>
      <w:pPr>
        <w:pStyle w:val="ListBullet"/>
        <w:spacing w:after="40"/>
      </w:pPr>
      <w:r>
        <w:t>CIOS Glossary</w:t>
      </w:r>
    </w:p>
    <w:p>
      <w:pPr>
        <w:pStyle w:val="ListBullet"/>
        <w:spacing w:after="40"/>
      </w:pPr>
      <w:r>
        <w:t>Commercial Digital Twin Blueprint Contract</w:t>
      </w:r>
    </w:p>
    <w:p>
      <w:pPr>
        <w:pStyle w:val="Heading2"/>
      </w:pPr>
      <w:r>
        <w:t>Document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504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Job</w:t>
            </w:r>
          </w:p>
        </w:tc>
        <w:tc>
          <w:tcPr>
            <w:tcW w:type="dxa" w:w="216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Authority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Twin Contract (Markdown)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Defines normative depth, artefacts, evidence and acceptance requirements.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Canonical operational contract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Research Agent Guide (this document)</w:t>
            </w:r>
          </w:p>
        </w:tc>
        <w:tc>
          <w:tcPr>
            <w:tcW w:type="dxa" w:w="504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Tells the research agent how to execute the Contract.</w:t>
            </w:r>
          </w:p>
        </w:tc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Derived companion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Owning architecture papers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sz w:val="16"/>
              </w:rPr>
              <w:t>Define canonical Enterprise Intelligence objects and doctrine.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Higher authority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Blueprint output</w:t>
            </w:r>
          </w:p>
        </w:tc>
        <w:tc>
          <w:tcPr>
            <w:tcW w:type="dxa" w:w="504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Applies the Contract to one enterprise at a point in time.</w:t>
            </w:r>
          </w:p>
        </w:tc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Candidate intelligence</w:t>
            </w:r>
          </w:p>
        </w:tc>
      </w:tr>
    </w:tbl>
    <w:p/>
    <w:p>
      <w:pPr>
        <w:pStyle w:val="Heading1"/>
      </w:pPr>
      <w:r>
        <w:t>2. Research mission</w:t>
      </w:r>
    </w:p>
    <w:p>
      <w:r>
        <w:t>Construct a Commercial Digital Twin Blueprint that allows a strategic commercial professional to explain how the enterprise actually works, where financial performance is created or destroyed, what management is likely to report next and where a genuinely flagship AI transformation could alter the trajectory.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5"/>
          </w:tcPr>
          <w:p>
            <w:pPr>
              <w:jc w:val="left"/>
            </w:pPr>
            <w:r/>
            <w:r>
              <w:rPr>
                <w:b/>
                <w:color w:val="172A3A"/>
                <w:sz w:val="20"/>
              </w:rPr>
              <w:t>A financial report is an entry point. It is not the Digital Twin.</w:t>
            </w:r>
          </w:p>
        </w:tc>
      </w:tr>
    </w:tbl>
    <w:p/>
    <w:p>
      <w:r>
        <w:t>The research must connect: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Reported outcome</w:t>
              <w:br/>
              <w:t>→ ownership and influence</w:t>
              <w:br/>
              <w:t>→ board agenda and strategic bets</w:t>
              <w:br/>
              <w:t>→ business-unit economics</w:t>
              <w:br/>
              <w:t>→ revenue, cost, cash and risk drivers</w:t>
              <w:br/>
              <w:t>→ processes, people, technology, data and suppliers</w:t>
              <w:br/>
              <w:t>→ leading indicators</w:t>
              <w:br/>
              <w:t>→ next-release implications</w:t>
              <w:br/>
              <w:t>→ transformation requirement</w:t>
              <w:br/>
              <w:t>→ specific role for AI</w:t>
            </w:r>
          </w:p>
        </w:tc>
      </w:tr>
    </w:tbl>
    <w:p/>
    <w:p>
      <w:pPr>
        <w:pStyle w:val="Heading1"/>
      </w:pPr>
      <w:r>
        <w:t>3. Non-negotiable research doctrine</w:t>
      </w:r>
    </w:p>
    <w:p>
      <w:pPr>
        <w:pStyle w:val="ListBullet"/>
        <w:spacing w:after="40"/>
      </w:pPr>
      <w:r>
        <w:t>Evidence proves change; Observations remember change; Enterprise Models accumulate change; reports are views.</w:t>
      </w:r>
    </w:p>
    <w:p>
      <w:pPr>
        <w:pStyle w:val="ListBullet"/>
        <w:spacing w:after="40"/>
      </w:pPr>
      <w:r>
        <w:t>Keep reported fact, calculation, inference, Signal, Hypothesis, forecast and Recommendation visibly distinct.</w:t>
      </w:r>
    </w:p>
    <w:p>
      <w:pPr>
        <w:pStyle w:val="ListBullet"/>
        <w:spacing w:after="40"/>
      </w:pPr>
      <w:r>
        <w:t>Label human-supplied knowledge by contributor and date.</w:t>
      </w:r>
    </w:p>
    <w:p>
      <w:pPr>
        <w:pStyle w:val="ListBullet"/>
        <w:spacing w:after="40"/>
      </w:pPr>
      <w:r>
        <w:t>Preserve Unknowns and Contradictions rather than writing around them.</w:t>
      </w:r>
    </w:p>
    <w:p>
      <w:pPr>
        <w:pStyle w:val="ListBullet"/>
        <w:spacing w:after="40"/>
      </w:pPr>
      <w:r>
        <w:t>Use inspectable lineage for every material conclusion.</w:t>
      </w:r>
    </w:p>
    <w:p>
      <w:pPr>
        <w:pStyle w:val="ListBullet"/>
        <w:spacing w:after="40"/>
      </w:pPr>
      <w:r>
        <w:t>Prefer learning before selling where commercial conviction is incomplete.</w:t>
      </w:r>
    </w:p>
    <w:p>
      <w:pPr>
        <w:pStyle w:val="ListBullet"/>
        <w:spacing w:after="40"/>
      </w:pPr>
      <w:r>
        <w:t>A transformation need does not prove a commercially accessible opportunity.</w:t>
      </w:r>
    </w:p>
    <w:p>
      <w:pPr>
        <w:pStyle w:val="ListBullet"/>
        <w:spacing w:after="40"/>
      </w:pPr>
      <w:r>
        <w:t>Depth is demonstrated through causal explanation, not source count or document length.</w:t>
      </w:r>
    </w:p>
    <w:p>
      <w:pPr>
        <w:pStyle w:val="ListBullet"/>
        <w:spacing w:after="40"/>
      </w:pPr>
      <w:r>
        <w:t>Never expose hidden chain-of-thought. Preserve sources, decisions, assumptions and concise reasoning summaries instead.</w:t>
      </w:r>
    </w:p>
    <w:p>
      <w:r>
        <w:br w:type="page"/>
      </w:r>
    </w:p>
    <w:p>
      <w:pPr>
        <w:pStyle w:val="Heading1"/>
      </w:pPr>
      <w:r>
        <w:t>4. Required depth: Levels 0–6</w:t>
      </w:r>
    </w:p>
    <w:p>
      <w:r>
        <w:t>Treat the levels as cumulative analytical lenses. A strong Blueprint moves down and back up the causal chain: from ownership and board pressure into business-unit operations, then back to likely financial outcomes and transformation implications.</w:t>
      </w:r>
    </w:p>
    <w:p>
      <w:pPr>
        <w:pStyle w:val="Heading2"/>
      </w:pPr>
      <w:r>
        <w:t>Level 0 — Control, ownership, influence and agendas</w:t>
      </w:r>
    </w:p>
    <w:p>
      <w:r>
        <w:rPr>
          <w:b/>
        </w:rPr>
        <w:t xml:space="preserve">Purpose: </w:t>
      </w:r>
      <w:r>
        <w:t>Establish who and what shapes strategy, risk, capital allocation, executive incentives and licence to operate.</w:t>
      </w:r>
    </w:p>
    <w:p>
      <w:pPr>
        <w:pStyle w:val="ListBullet"/>
        <w:spacing w:after="40"/>
      </w:pPr>
      <w:r>
        <w:t>Map parent, subsidiaries, major shareholders, activists, state interests, lenders, pension obligations and joint ventures.</w:t>
      </w:r>
    </w:p>
    <w:p>
      <w:pPr>
        <w:pStyle w:val="ListBullet"/>
        <w:spacing w:after="40"/>
      </w:pPr>
      <w:r>
        <w:t>Map board, committees, executive incentives and governance changes.</w:t>
      </w:r>
    </w:p>
    <w:p>
      <w:pPr>
        <w:pStyle w:val="ListBullet"/>
        <w:spacing w:after="40"/>
      </w:pPr>
      <w:r>
        <w:t>Map regulators, government, unions, major customers, strategic suppliers, analysts, rating agencies, media and public pressure.</w:t>
      </w:r>
    </w:p>
    <w:p>
      <w:pPr>
        <w:pStyle w:val="ListBullet"/>
        <w:spacing w:after="40"/>
      </w:pPr>
      <w:r>
        <w:t>For every influence, state the mechanism, apparent agenda, decisions affected, evidence, alternative interpretation and confidence.</w:t>
      </w:r>
    </w:p>
    <w:p>
      <w:pPr>
        <w:pStyle w:val="ListBullet"/>
        <w:spacing w:after="40"/>
      </w:pPr>
      <w:r>
        <w:t>Never present a hidden agenda as fact.</w:t>
      </w:r>
    </w:p>
    <w:p>
      <w:pPr>
        <w:pStyle w:val="Heading2"/>
      </w:pPr>
      <w:r>
        <w:t>Level 1 — Board agenda, burning platforms and credibility risk</w:t>
      </w:r>
    </w:p>
    <w:p>
      <w:r>
        <w:rPr>
          <w:b/>
        </w:rPr>
        <w:t xml:space="preserve">Purpose: </w:t>
      </w:r>
      <w:r>
        <w:t>Determine what the board must defend, fix, deliver and prove.</w:t>
      </w:r>
    </w:p>
    <w:p>
      <w:pPr>
        <w:pStyle w:val="ListBullet"/>
        <w:spacing w:after="40"/>
      </w:pPr>
      <w:r>
        <w:t>Separate routine risks from issues with material consequence and time pressure.</w:t>
      </w:r>
    </w:p>
    <w:p>
      <w:pPr>
        <w:pStyle w:val="ListBullet"/>
        <w:spacing w:after="40"/>
      </w:pPr>
      <w:r>
        <w:t>Identify public commitments, deadlines and management credibility exposure.</w:t>
      </w:r>
    </w:p>
    <w:p>
      <w:pPr>
        <w:pStyle w:val="ListBullet"/>
        <w:spacing w:after="40"/>
      </w:pPr>
      <w:r>
        <w:t>Describe what is keeping the board awake at night, but anchor it in evidence.</w:t>
      </w:r>
    </w:p>
    <w:p>
      <w:pPr>
        <w:pStyle w:val="ListBullet"/>
        <w:spacing w:after="40"/>
      </w:pPr>
      <w:r>
        <w:t>Create a burning-platform test: consequence, urgency, worsening trajectory, inadequate current response and executive accountability.</w:t>
      </w:r>
    </w:p>
    <w:p>
      <w:pPr>
        <w:pStyle w:val="Heading2"/>
      </w:pPr>
      <w:r>
        <w:t>Level 2 — Strategic hopes, bets and economic engine</w:t>
      </w:r>
    </w:p>
    <w:p>
      <w:r>
        <w:rPr>
          <w:b/>
        </w:rPr>
        <w:t xml:space="preserve">Purpose: </w:t>
      </w:r>
      <w:r>
        <w:t>Explain what management is relying on and how the economics must work.</w:t>
      </w:r>
    </w:p>
    <w:p>
      <w:pPr>
        <w:pStyle w:val="ListBullet"/>
        <w:spacing w:after="40"/>
      </w:pPr>
      <w:r>
        <w:t>Map strategic bets, sponsors, dependencies, investment, time horizon and invalidation conditions.</w:t>
      </w:r>
    </w:p>
    <w:p>
      <w:pPr>
        <w:pStyle w:val="ListBullet"/>
        <w:spacing w:after="40"/>
      </w:pPr>
      <w:r>
        <w:t>Reconstruct revenue by customer, price, volume, mix, usage, churn, channel, geography and contract characteristics.</w:t>
      </w:r>
    </w:p>
    <w:p>
      <w:pPr>
        <w:pStyle w:val="ListBullet"/>
        <w:spacing w:after="40"/>
      </w:pPr>
      <w:r>
        <w:t>Reconstruct costs by business unit, workforce, technology, infrastructure, suppliers, service, property, regulation and financing.</w:t>
      </w:r>
    </w:p>
    <w:p>
      <w:pPr>
        <w:pStyle w:val="ListBullet"/>
        <w:spacing w:after="40"/>
      </w:pPr>
      <w:r>
        <w:t>Explain profit-to-cash conversion, capex, debt, pensions, restructuring, dividends and discretionary investment capacity.</w:t>
      </w:r>
    </w:p>
    <w:p>
      <w:pPr>
        <w:pStyle w:val="Heading2"/>
      </w:pPr>
      <w:r>
        <w:t>Level 3 — Organisational anatomy and operating reality</w:t>
      </w:r>
    </w:p>
    <w:p>
      <w:r>
        <w:rPr>
          <w:b/>
        </w:rPr>
        <w:t xml:space="preserve">Purpose: </w:t>
      </w:r>
      <w:r>
        <w:t>Drill from Group performance into business units, value streams, processes, people, platforms, data and suppliers.</w:t>
      </w:r>
    </w:p>
    <w:p>
      <w:pPr>
        <w:pStyle w:val="ListBullet"/>
        <w:spacing w:after="40"/>
      </w:pPr>
      <w:r>
        <w:t>Build a Business-Unit Anatomy view for every material unit.</w:t>
      </w:r>
    </w:p>
    <w:p>
      <w:pPr>
        <w:pStyle w:val="ListBullet"/>
        <w:spacing w:after="40"/>
      </w:pPr>
      <w:r>
        <w:t>Connect unit economics to leadership, workforce, process, platform and supplier mechanics.</w:t>
      </w:r>
    </w:p>
    <w:p>
      <w:pPr>
        <w:pStyle w:val="ListBullet"/>
        <w:spacing w:after="40"/>
      </w:pPr>
      <w:r>
        <w:t>Trace specific issues such as churn, leakage, manual work, rework, delay, low utilisation, data fragmentation or supplier dependency.</w:t>
      </w:r>
    </w:p>
    <w:p>
      <w:pPr>
        <w:pStyle w:val="ListBullet"/>
        <w:spacing w:after="40"/>
      </w:pPr>
      <w:r>
        <w:t>Map cross-unit dependencies and shared services that obscure accountability.</w:t>
      </w:r>
    </w:p>
    <w:p>
      <w:pPr>
        <w:pStyle w:val="ListBullet"/>
        <w:spacing w:after="40"/>
      </w:pPr>
      <w:r>
        <w:t>Do not use generic transformation language.</w:t>
      </w:r>
    </w:p>
    <w:p>
      <w:pPr>
        <w:pStyle w:val="Heading2"/>
      </w:pPr>
      <w:r>
        <w:t>Level 4 — Behaviour, constraints and execution capacity</w:t>
      </w:r>
    </w:p>
    <w:p>
      <w:r>
        <w:rPr>
          <w:b/>
        </w:rPr>
        <w:t xml:space="preserve">Purpose: </w:t>
      </w:r>
      <w:r>
        <w:t>Explain why the enterprise will act, delay, resist, fund, procure or execute in a particular way.</w:t>
      </w:r>
    </w:p>
    <w:p>
      <w:pPr>
        <w:pStyle w:val="ListBullet"/>
        <w:spacing w:after="40"/>
      </w:pPr>
      <w:r>
        <w:t>Assess transformation appetite, risk appetite, cost discipline, innovation, centralisation, decision velocity and regulatory responsiveness.</w:t>
      </w:r>
    </w:p>
    <w:p>
      <w:pPr>
        <w:pStyle w:val="ListBullet"/>
        <w:spacing w:after="40"/>
      </w:pPr>
      <w:r>
        <w:t>Assess procurement behaviour, supplier loyalty, insourcing preference, leadership stability and programme delivery history.</w:t>
      </w:r>
    </w:p>
    <w:p>
      <w:pPr>
        <w:pStyle w:val="ListBullet"/>
        <w:spacing w:after="40"/>
      </w:pPr>
      <w:r>
        <w:t>Record contrary evidence and business-unit variation.</w:t>
      </w:r>
    </w:p>
    <w:p>
      <w:pPr>
        <w:pStyle w:val="ListBullet"/>
        <w:spacing w:after="40"/>
      </w:pPr>
      <w:r>
        <w:t>Translate behaviour into likely management response under pressure.</w:t>
      </w:r>
    </w:p>
    <w:p>
      <w:pPr>
        <w:pStyle w:val="Heading2"/>
      </w:pPr>
      <w:r>
        <w:t>Level 5 — Change dynamics and next financial release</w:t>
      </w:r>
    </w:p>
    <w:p>
      <w:r>
        <w:rPr>
          <w:b/>
        </w:rPr>
        <w:t xml:space="preserve">Purpose: </w:t>
      </w:r>
      <w:r>
        <w:t>Build a driver-based forecast using leading indicators and enterprise mechanics.</w:t>
      </w:r>
    </w:p>
    <w:p>
      <w:pPr>
        <w:pStyle w:val="ListBullet"/>
        <w:spacing w:after="40"/>
      </w:pPr>
      <w:r>
        <w:t>Separate actuals, guidance, targets, consensus, Twin forecast and Unknowns.</w:t>
      </w:r>
    </w:p>
    <w:p>
      <w:pPr>
        <w:pStyle w:val="ListBullet"/>
        <w:spacing w:after="40"/>
      </w:pPr>
      <w:r>
        <w:t>Create baseline, upside and downside scenarios.</w:t>
      </w:r>
    </w:p>
    <w:p>
      <w:pPr>
        <w:pStyle w:val="ListBullet"/>
        <w:spacing w:after="40"/>
      </w:pPr>
      <w:r>
        <w:t>Show the bridge from customer, volume, price, mix, productivity, programme benefits, inflation, workforce, suppliers, capital, regulation and macro conditions.</w:t>
      </w:r>
    </w:p>
    <w:p>
      <w:pPr>
        <w:pStyle w:val="ListBullet"/>
        <w:spacing w:after="40"/>
      </w:pPr>
      <w:r>
        <w:t>Predict the likely management narrative and what could surprise.</w:t>
      </w:r>
    </w:p>
    <w:p>
      <w:pPr>
        <w:pStyle w:val="Heading2"/>
      </w:pPr>
      <w:r>
        <w:t>Level 6 — Flagship transformation intelligence</w:t>
      </w:r>
    </w:p>
    <w:p>
      <w:r>
        <w:rPr>
          <w:b/>
        </w:rPr>
        <w:t xml:space="preserve">Purpose: </w:t>
      </w:r>
      <w:r>
        <w:t>Identify AI-enabled reinvention only after the underlying enterprise mechanisms are understood.</w:t>
      </w:r>
    </w:p>
    <w:p>
      <w:pPr>
        <w:pStyle w:val="ListBullet"/>
        <w:spacing w:after="40"/>
      </w:pPr>
      <w:r>
        <w:t>Anchor each thesis to a board agenda, business unit, value pool and operating mechanism.</w:t>
      </w:r>
    </w:p>
    <w:p>
      <w:pPr>
        <w:pStyle w:val="ListBullet"/>
        <w:spacing w:after="40"/>
      </w:pPr>
      <w:r>
        <w:t>Specify what AI predicts, detects, decides, optimises, generates, orchestrates, automates, assists or learns.</w:t>
      </w:r>
    </w:p>
    <w:p>
      <w:pPr>
        <w:pStyle w:val="ListBullet"/>
        <w:spacing w:after="40"/>
      </w:pPr>
      <w:r>
        <w:t>Name non-AI dependencies: process, data, integration, operating model, workforce, controls and leadership.</w:t>
      </w:r>
    </w:p>
    <w:p>
      <w:pPr>
        <w:pStyle w:val="ListBullet"/>
        <w:spacing w:after="40"/>
      </w:pPr>
      <w:r>
        <w:t>Assess ownership, incumbents, procurement, accessibility, contradictions, Unknowns and falsification questions.</w:t>
      </w:r>
    </w:p>
    <w:p>
      <w:pPr>
        <w:pStyle w:val="ListBullet"/>
        <w:spacing w:after="40"/>
      </w:pPr>
      <w:r>
        <w:t>State what would appear differently in future reporting if the transformation succeeded.</w:t>
      </w:r>
    </w:p>
    <w:p>
      <w:r>
        <w:br w:type="page"/>
      </w:r>
    </w:p>
    <w:p>
      <w:pPr>
        <w:pStyle w:val="Heading1"/>
      </w:pPr>
      <w:r>
        <w:t>5. The Business-Unit Anatomy standard</w:t>
      </w:r>
    </w:p>
    <w:p>
      <w:r>
        <w:t>The Business-Unit Anatomy is the core unit of depth. It prevents Group-level statements from hiding the operating reality. Create one for every material business unit and for major cross-enterprise functions where they materially shape economics.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835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Required questions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 and role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What does the unit do? Which customers, products, channels, geographies and regulatory perimeter does it serve? Why does it matter to the Group?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Economics</w:t>
            </w:r>
          </w:p>
        </w:tc>
        <w:tc>
          <w:tcPr>
            <w:tcW w:type="dxa" w:w="83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How much revenue, margin, cost, capex and cash does it contribute? Which value pools are growing, declining or subsidised?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Revenue drivers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Which customers, prices, volumes, mix, usage, churn, contracts and channels drive performance?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Cost drivers</w:t>
            </w:r>
          </w:p>
        </w:tc>
        <w:tc>
          <w:tcPr>
            <w:tcW w:type="dxa" w:w="83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Which people, platforms, suppliers, assets, property and service activities drive cost? Which costs are fixed, variable or committed?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Leadership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Who owns the unit and its outcomes? Where are decision rights centralised or ambiguous?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Workforce</w:t>
            </w:r>
          </w:p>
        </w:tc>
        <w:tc>
          <w:tcPr>
            <w:tcW w:type="dxa" w:w="83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What is the employee/contractor mix, role structure, location, productivity, attrition, hiring and skill constraint?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Value streams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How do demand, sales, fulfilment, service, billing, collections, operations and change flow through the unit?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Technology and data</w:t>
            </w:r>
          </w:p>
        </w:tc>
        <w:tc>
          <w:tcPr>
            <w:tcW w:type="dxa" w:w="83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Which platforms, interfaces, data domains and controls enable or constrain the unit?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Suppliers and contracts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Which suppliers own critical processes or platforms? What are the switching and procurement constraints?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Issues and opportunities</w:t>
            </w:r>
          </w:p>
        </w:tc>
        <w:tc>
          <w:tcPr>
            <w:tcW w:type="dxa" w:w="83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Where is value leaked, service failing, work duplicated, decisions delayed or risk concentrated?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Next-release effect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Which unit mechanisms will move Group results or management narrative next?</w:t>
            </w:r>
          </w:p>
        </w:tc>
      </w:tr>
    </w:tbl>
    <w:p/>
    <w:p>
      <w:pPr>
        <w:pStyle w:val="Heading2"/>
      </w:pPr>
      <w:r>
        <w:t>Minimum causal trace for a material issue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Business unit</w:t>
              <w:br/>
              <w:t>→ value stream or process</w:t>
              <w:br/>
              <w:t>→ workforce / platform / data / supplier mechanism</w:t>
              <w:br/>
              <w:t>→ operating KPI</w:t>
              <w:br/>
              <w:t>→ customer, cost, revenue, cash or risk consequence</w:t>
              <w:br/>
              <w:t>→ board agenda or strategic bet</w:t>
              <w:br/>
              <w:t>→ next-release implication</w:t>
              <w:br/>
              <w:t>→ transformation thesis</w:t>
            </w:r>
          </w:p>
        </w:tc>
      </w:tr>
    </w:tbl>
    <w:p/>
    <w:p>
      <w:pPr>
        <w:pStyle w:val="Heading1"/>
      </w:pPr>
      <w:r>
        <w:t>6. Research execution workflow</w:t>
      </w:r>
    </w:p>
    <w:p>
      <w:r>
        <w:t>Run the research in ten passes. Preserve the output and evidence from each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777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1 — Scope and identity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Set the enterprise boundary, reporting period, source cut-off, legal/operating structure and material business units.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Pass 2 — Ownership and influence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Map ownership, governance, committees, incentives, regulation, political influence, customers, suppliers and capital-market pressure.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3 — Board agenda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Reconstruct must-defend, must-fix, must-deliver and must-prove priorities. Test proposed burning platforms.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Pass 4 — Economics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Build revenue, cost, cash and capital driver trees. Identify unexplained value pools.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5 — Organisational anatomy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Build Business-Unit Anatomy views and cross-unit dependencies. Drill into processes, workforce, platforms, data and suppliers.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Pass 6 — Existing change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Map transformation programmes, commitments, milestones, sponsors, suppliers, benefits and delivery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7 — Behaviour and execution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Assess how the enterprise tends to act and whether it can deliver the changes on which it relies.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Pass 8 — Predictive model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Build baseline, upside and downside views of the next release using leading indicators.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9 — Transformation theses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Generate competing transformation hypotheses, including reasons they may be wrong or inaccessible.</w:t>
            </w:r>
          </w:p>
        </w:tc>
      </w:tr>
      <w:tr>
        <w:tc>
          <w:tcPr>
            <w:tcW w:type="dxa" w:w="25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Pass 10 — Red-team and synthesis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Challenge evidence, depth, causality, novelty, accessibility and commercial usefulness before finalising.</w:t>
            </w:r>
          </w:p>
        </w:tc>
      </w:tr>
    </w:tbl>
    <w:p/>
    <w:p>
      <w:pPr>
        <w:pStyle w:val="Heading2"/>
      </w:pPr>
      <w:r>
        <w:t>Research loop within every pass</w:t>
      </w:r>
    </w:p>
    <w:p>
      <w:pPr>
        <w:pStyle w:val="ListNumber"/>
        <w:spacing w:after="40"/>
      </w:pPr>
      <w:r>
        <w:t>State the question being answered.</w:t>
      </w:r>
    </w:p>
    <w:p>
      <w:pPr>
        <w:pStyle w:val="ListNumber"/>
        <w:spacing w:after="40"/>
      </w:pPr>
      <w:r>
        <w:t>Identify the evidence families needed.</w:t>
      </w:r>
    </w:p>
    <w:p>
      <w:pPr>
        <w:pStyle w:val="ListNumber"/>
        <w:spacing w:after="40"/>
      </w:pPr>
      <w:r>
        <w:t>Collect and record the sources actually reviewed.</w:t>
      </w:r>
    </w:p>
    <w:p>
      <w:pPr>
        <w:pStyle w:val="ListNumber"/>
        <w:spacing w:after="40"/>
      </w:pPr>
      <w:r>
        <w:t>Extract reported facts and calculations before interpretation.</w:t>
      </w:r>
    </w:p>
    <w:p>
      <w:pPr>
        <w:pStyle w:val="ListNumber"/>
        <w:spacing w:after="40"/>
      </w:pPr>
      <w:r>
        <w:t>Create or update the relevant entities and relationships.</w:t>
      </w:r>
    </w:p>
    <w:p>
      <w:pPr>
        <w:pStyle w:val="ListNumber"/>
        <w:spacing w:after="40"/>
      </w:pPr>
      <w:r>
        <w:t>Record competing explanations.</w:t>
      </w:r>
    </w:p>
    <w:p>
      <w:pPr>
        <w:pStyle w:val="ListNumber"/>
        <w:spacing w:after="40"/>
      </w:pPr>
      <w:r>
        <w:t>State Unknowns and confidence.</w:t>
      </w:r>
    </w:p>
    <w:p>
      <w:pPr>
        <w:pStyle w:val="ListNumber"/>
        <w:spacing w:after="40"/>
      </w:pPr>
      <w:r>
        <w:t>Connect the finding to the causal spine.</w:t>
      </w:r>
    </w:p>
    <w:p>
      <w:pPr>
        <w:pStyle w:val="ListNumber"/>
        <w:spacing w:after="40"/>
      </w:pPr>
      <w:r>
        <w:t>Decide the next highest-value research question.</w:t>
      </w:r>
    </w:p>
    <w:p>
      <w:r>
        <w:br w:type="page"/>
      </w:r>
    </w:p>
    <w:p>
      <w:pPr>
        <w:pStyle w:val="Heading1"/>
      </w:pPr>
      <w:r>
        <w:t>7. Source strategy and evidence discipline</w:t>
      </w:r>
    </w:p>
    <w:p>
      <w:r>
        <w:t>Do not rely on an annual report alone. Triangulate enterprise reporting with operational, regulatory, workforce, technology, supplier, customer and macro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Evidence family</w:t>
            </w:r>
          </w:p>
        </w:tc>
        <w:tc>
          <w:tcPr>
            <w:tcW w:type="dxa" w:w="4968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31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primary sources</w:t>
            </w:r>
          </w:p>
        </w:tc>
        <w:tc>
          <w:tcPr>
            <w:tcW w:type="dxa" w:w="4968"/>
            <w:vAlign w:val="top"/>
          </w:tcPr>
          <w:p>
            <w:pPr>
              <w:spacing w:after="20"/>
            </w:pPr>
            <w:r>
              <w:rPr>
                <w:sz w:val="16"/>
              </w:rPr>
              <w:t>Results, annual report, investor deck, transcript, strategy event, governance and remuneration reports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Reported economics, commitments, guidance, leadership narrative</w:t>
            </w:r>
          </w:p>
        </w:tc>
      </w:tr>
      <w:tr>
        <w:tc>
          <w:tcPr>
            <w:tcW w:type="dxa" w:w="208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Regulatory and government</w:t>
            </w:r>
          </w:p>
        </w:tc>
        <w:tc>
          <w:tcPr>
            <w:tcW w:type="dxa" w:w="496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Regulator data, consultations, licence decisions, government policy, parliamentary material</w:t>
            </w:r>
          </w:p>
        </w:tc>
        <w:tc>
          <w:tcPr>
            <w:tcW w:type="dxa" w:w="33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External constraints, service performance, deadlines and political influence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6"/>
              </w:rPr>
              <w:t>Organisation and workforce</w:t>
            </w:r>
          </w:p>
        </w:tc>
        <w:tc>
          <w:tcPr>
            <w:tcW w:type="dxa" w:w="4968"/>
            <w:vAlign w:val="top"/>
          </w:tcPr>
          <w:p>
            <w:pPr>
              <w:spacing w:after="20"/>
            </w:pPr>
            <w:r>
              <w:rPr>
                <w:sz w:val="16"/>
              </w:rPr>
              <w:t>Leadership announcements, job adverts, workforce disclosures, union sources, restructuring material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Operating model, skills, locations, capacity and change</w:t>
            </w:r>
          </w:p>
        </w:tc>
      </w:tr>
      <w:tr>
        <w:tc>
          <w:tcPr>
            <w:tcW w:type="dxa" w:w="208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Technology and suppliers</w:t>
            </w:r>
          </w:p>
        </w:tc>
        <w:tc>
          <w:tcPr>
            <w:tcW w:type="dxa" w:w="496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Contract awards, procurement notices, case studies, partner releases, platform job descriptions</w:t>
            </w:r>
          </w:p>
        </w:tc>
        <w:tc>
          <w:tcPr>
            <w:tcW w:type="dxa" w:w="33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Platforms, programmes, suppliers, incumbency and capability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Customers and operations</w:t>
            </w:r>
          </w:p>
        </w:tc>
        <w:tc>
          <w:tcPr>
            <w:tcW w:type="dxa" w:w="4968"/>
            <w:vAlign w:val="top"/>
          </w:tcPr>
          <w:p>
            <w:pPr>
              <w:spacing w:after="20"/>
            </w:pPr>
            <w:r>
              <w:rPr>
                <w:sz w:val="16"/>
              </w:rPr>
              <w:t>Complaints, service data, market share, asset/network statistics, operational benchmarks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engine, process performance and leading indicators</w:t>
            </w:r>
          </w:p>
        </w:tc>
      </w:tr>
      <w:tr>
        <w:tc>
          <w:tcPr>
            <w:tcW w:type="dxa" w:w="208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Market and competitors</w:t>
            </w:r>
          </w:p>
        </w:tc>
        <w:tc>
          <w:tcPr>
            <w:tcW w:type="dxa" w:w="496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Competitor results, sector data, substitutes, analyst views</w:t>
            </w:r>
          </w:p>
        </w:tc>
        <w:tc>
          <w:tcPr>
            <w:tcW w:type="dxa" w:w="331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Relative performance, market movement and alternative explanations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6"/>
              </w:rPr>
              <w:t>Human knowledge</w:t>
            </w:r>
          </w:p>
        </w:tc>
        <w:tc>
          <w:tcPr>
            <w:tcW w:type="dxa" w:w="4968"/>
            <w:vAlign w:val="top"/>
          </w:tcPr>
          <w:p>
            <w:pPr>
              <w:spacing w:after="20"/>
            </w:pPr>
            <w:r>
              <w:rPr>
                <w:sz w:val="16"/>
              </w:rPr>
              <w:t>Rob or trusted contributor insight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sz w:val="16"/>
              </w:rPr>
              <w:t>Commercial context, relationships and hypothesis calibration; always labelled</w:t>
            </w:r>
          </w:p>
        </w:tc>
      </w:tr>
    </w:tbl>
    <w:p/>
    <w:p>
      <w:pPr>
        <w:pStyle w:val="Heading2"/>
      </w:pPr>
      <w:r>
        <w:t>Evidence tests</w:t>
      </w:r>
    </w:p>
    <w:p>
      <w:pPr>
        <w:pStyle w:val="ListBullet"/>
        <w:spacing w:after="40"/>
      </w:pPr>
      <w:r>
        <w:rPr>
          <w:b/>
        </w:rPr>
        <w:t xml:space="preserve">Claim support: </w:t>
      </w:r>
      <w:r>
        <w:t>Does the cited source actually support the full statement?</w:t>
      </w:r>
    </w:p>
    <w:p>
      <w:pPr>
        <w:pStyle w:val="ListBullet"/>
        <w:spacing w:after="40"/>
      </w:pPr>
      <w:r>
        <w:rPr>
          <w:b/>
        </w:rPr>
        <w:t xml:space="preserve">Authority: </w:t>
      </w:r>
      <w:r>
        <w:t>Is the source close enough to the underlying event or enterprise?</w:t>
      </w:r>
    </w:p>
    <w:p>
      <w:pPr>
        <w:pStyle w:val="ListBullet"/>
        <w:spacing w:after="40"/>
      </w:pPr>
      <w:r>
        <w:rPr>
          <w:b/>
        </w:rPr>
        <w:t xml:space="preserve">Independence: </w:t>
      </w:r>
      <w:r>
        <w:t>Are multiple sources genuinely independent or repeating one claim?</w:t>
      </w:r>
    </w:p>
    <w:p>
      <w:pPr>
        <w:pStyle w:val="ListBullet"/>
        <w:spacing w:after="40"/>
      </w:pPr>
      <w:r>
        <w:rPr>
          <w:b/>
        </w:rPr>
        <w:t xml:space="preserve">Freshness: </w:t>
      </w:r>
      <w:r>
        <w:t>Could the fact have changed materially?</w:t>
      </w:r>
    </w:p>
    <w:p>
      <w:pPr>
        <w:pStyle w:val="ListBullet"/>
        <w:spacing w:after="40"/>
      </w:pPr>
      <w:r>
        <w:rPr>
          <w:b/>
        </w:rPr>
        <w:t xml:space="preserve">Scope: </w:t>
      </w:r>
      <w:r>
        <w:t>Does the evidence apply to the Group, a segment, a geography or one programme?</w:t>
      </w:r>
    </w:p>
    <w:p>
      <w:pPr>
        <w:pStyle w:val="ListBullet"/>
        <w:spacing w:after="40"/>
      </w:pPr>
      <w:r>
        <w:rPr>
          <w:b/>
        </w:rPr>
        <w:t xml:space="preserve">Accounting and measurement: </w:t>
      </w:r>
      <w:r>
        <w:t>Are actual, adjusted, target, guidance and forecast states distinct?</w:t>
      </w:r>
    </w:p>
    <w:p>
      <w:pPr>
        <w:pStyle w:val="ListBullet"/>
        <w:spacing w:after="40"/>
      </w:pPr>
      <w:r>
        <w:rPr>
          <w:b/>
        </w:rPr>
        <w:t xml:space="preserve">Contradiction: </w:t>
      </w:r>
      <w:r>
        <w:t>What credible evidence points the other way?</w:t>
      </w:r>
    </w:p>
    <w:p>
      <w:pPr>
        <w:pStyle w:val="ListBullet"/>
        <w:spacing w:after="40"/>
      </w:pPr>
      <w:r>
        <w:rPr>
          <w:b/>
        </w:rPr>
        <w:t xml:space="preserve">Coverage: </w:t>
      </w:r>
      <w:r>
        <w:t>Which parts of the enterprise remain opaque?</w:t>
      </w:r>
    </w:p>
    <w:p>
      <w:pPr>
        <w:pStyle w:val="Heading1"/>
      </w:pPr>
      <w:r>
        <w:t>8. Truth classes and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763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Reported fact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Directly stated by an attributable source.</w:t>
            </w:r>
          </w:p>
        </w:tc>
      </w:tr>
      <w:tr>
        <w:tc>
          <w:tcPr>
            <w:tcW w:type="dxa" w:w="244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Calculated fact</w:t>
            </w:r>
          </w:p>
        </w:tc>
        <w:tc>
          <w:tcPr>
            <w:tcW w:type="dxa" w:w="76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Transparent calculation from reported values.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Corroborated inference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Inference supported across independent evidence families.</w:t>
            </w:r>
          </w:p>
        </w:tc>
      </w:tr>
      <w:tr>
        <w:tc>
          <w:tcPr>
            <w:tcW w:type="dxa" w:w="244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Single-source inference</w:t>
            </w:r>
          </w:p>
        </w:tc>
        <w:tc>
          <w:tcPr>
            <w:tcW w:type="dxa" w:w="76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Plausible but weak; use cautious language.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Human-supplied knowledge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Label contributor and date.</w:t>
            </w:r>
          </w:p>
        </w:tc>
      </w:tr>
      <w:tr>
        <w:tc>
          <w:tcPr>
            <w:tcW w:type="dxa" w:w="244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Signal</w:t>
            </w:r>
          </w:p>
        </w:tc>
        <w:tc>
          <w:tcPr>
            <w:tcW w:type="dxa" w:w="76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Explain why a pattern may matter.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Hypothesis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Testable proposition with supporting and contrary evidence.</w:t>
            </w:r>
          </w:p>
        </w:tc>
      </w:tr>
      <w:tr>
        <w:tc>
          <w:tcPr>
            <w:tcW w:type="dxa" w:w="244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Unknown</w:t>
            </w:r>
          </w:p>
        </w:tc>
        <w:tc>
          <w:tcPr>
            <w:tcW w:type="dxa" w:w="76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Material information not established.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Contradiction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Conflicting evidence or interpretation.</w:t>
            </w:r>
          </w:p>
        </w:tc>
      </w:tr>
      <w:tr>
        <w:tc>
          <w:tcPr>
            <w:tcW w:type="dxa" w:w="2448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Forecast</w:t>
            </w:r>
          </w:p>
        </w:tc>
        <w:tc>
          <w:tcPr>
            <w:tcW w:type="dxa" w:w="76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Time-bound expectation with drivers and scenarios.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Recommendation</w:t>
            </w:r>
          </w:p>
        </w:tc>
        <w:tc>
          <w:tcPr>
            <w:tcW w:type="dxa" w:w="7632"/>
            <w:vAlign w:val="top"/>
          </w:tcPr>
          <w:p>
            <w:pPr>
              <w:spacing w:after="20"/>
            </w:pPr>
            <w:r>
              <w:rPr>
                <w:sz w:val="16"/>
              </w:rPr>
              <w:t>Proportionate action backed by inspectable lineage.</w:t>
            </w:r>
          </w:p>
        </w:tc>
      </w:tr>
    </w:tbl>
    <w:p/>
    <w:p>
      <w:r>
        <w:t>Use language that preserves epistemic honesty:</w:t>
      </w:r>
    </w:p>
    <w:p>
      <w:pPr>
        <w:pStyle w:val="ListBullet"/>
        <w:spacing w:after="40"/>
      </w:pPr>
      <w:r>
        <w:t>“The report states…” for a reported fact.</w:t>
      </w:r>
    </w:p>
    <w:p>
      <w:pPr>
        <w:pStyle w:val="ListBullet"/>
        <w:spacing w:after="40"/>
      </w:pPr>
      <w:r>
        <w:t>“The available evidence suggests…” for a corroborated inference.</w:t>
      </w:r>
    </w:p>
    <w:p>
      <w:pPr>
        <w:pStyle w:val="ListBullet"/>
        <w:spacing w:after="40"/>
      </w:pPr>
      <w:r>
        <w:t>“One plausible explanation is…” for a single-source inference.</w:t>
      </w:r>
    </w:p>
    <w:p>
      <w:pPr>
        <w:pStyle w:val="ListBullet"/>
        <w:spacing w:after="40"/>
      </w:pPr>
      <w:r>
        <w:t>“The Twin currently expects…” for a forecast.</w:t>
      </w:r>
    </w:p>
    <w:p>
      <w:pPr>
        <w:pStyle w:val="ListBullet"/>
        <w:spacing w:after="40"/>
      </w:pPr>
      <w:r>
        <w:t>“This remains Unknown because…” for a material gap.</w:t>
      </w:r>
    </w:p>
    <w:p>
      <w:pPr>
        <w:pStyle w:val="ListBullet"/>
        <w:spacing w:after="40"/>
      </w:pPr>
      <w:r>
        <w:t>“The evidence conflicts on…” for a contradiction.</w:t>
      </w:r>
    </w:p>
    <w:p>
      <w:pPr>
        <w:pStyle w:val="ListBullet"/>
        <w:spacing w:after="40"/>
      </w:pPr>
      <w:r>
        <w:t>“A useful next test is…” when conviction is incomplete.</w:t>
      </w:r>
    </w:p>
    <w:p>
      <w:r>
        <w:br w:type="page"/>
      </w:r>
    </w:p>
    <w:p>
      <w:pPr>
        <w:pStyle w:val="Heading1"/>
      </w:pPr>
      <w:r>
        <w:t>9. Next-financial-release forecasting</w:t>
      </w:r>
    </w:p>
    <w:p>
      <w:r>
        <w:t>Forecasting is not a closing paragraph. It is a driver model that can later be scored against actual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Forecast field</w:t>
            </w:r>
          </w:p>
        </w:tc>
        <w:tc>
          <w:tcPr>
            <w:tcW w:type="dxa" w:w="792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Metric or KPI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Revenue, margin, cash, capex or operating indicator.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Current state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Value, period, scope, accounting basis and source.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Guidance and target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Exact management statement; do not merge with forecast.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Twin baseline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Expected range or direction and confidence.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Driver bridge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Customer, volume, price, mix, productivity, programme, inflation, workforce, supplier, capital, regulation and macro drivers.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Leading indicators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Observable evidence before the release.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Upside scenario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Trigger conditions and likely consequence.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Downside scenario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Trigger conditions and likely consequence.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Contradictory evidence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 against the baseline.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Management narrative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What management is likely to defend, celebrate, explain or reframe.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Update triggers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Events that require the Twin to change its 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5"/>
          </w:tcPr>
          <w:p>
            <w:pPr>
              <w:jc w:val="left"/>
            </w:pPr>
            <w:r/>
            <w:r>
              <w:rPr>
                <w:b/>
                <w:color w:val="172A3A"/>
                <w:sz w:val="20"/>
              </w:rPr>
              <w:t>Avoid false precision. A transparent directional bridge is better than a fabricated point estimate.</w:t>
            </w:r>
          </w:p>
        </w:tc>
      </w:tr>
    </w:tbl>
    <w:p/>
    <w:p>
      <w:pPr>
        <w:pStyle w:val="Heading1"/>
      </w:pPr>
      <w:r>
        <w:t>10. Flagship AI transformation blueprint</w:t>
      </w:r>
    </w:p>
    <w:p>
      <w:r>
        <w:t>Create a transformation candidate only after the enterprise mechanics are sufficiently developed.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7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problem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Precise board, economic or operating constraint.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Causal chain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Condition → operating mechanism → financial/customer/risk consequence.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Transformation proposition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The material operating change required.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Specific AI role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What AI predicts, detects, decides, optimises, generates, orchestrates, automates, assists or learns.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Non-AI dependencies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Process, data, integration, operating model, workforce, controls and leadership.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Scale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Business units, workforce, customers, processes, platforms and value pools affected.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Why now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Evidence-backed timing and urgency.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Ownership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Named executive or explicitly inferred role.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Existing initiatives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Programmes, suppliers, contracts and incumbents already present.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Value mechanisms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Revenue, margin, cost, cash, capital, risk, resilience or customer impact.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Contradictions and blockers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Why the thesis may be wrong, late or inaccessible.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Unknowns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What is required for stronger conviction.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Validation questions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Questions that could strengthen or falsify the thesis.</w:t>
            </w:r>
          </w:p>
        </w:tc>
      </w:tr>
      <w:tr>
        <w:tc>
          <w:tcPr>
            <w:tcW w:type="dxa" w:w="2304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Next learning action</w:t>
            </w:r>
          </w:p>
        </w:tc>
        <w:tc>
          <w:tcPr>
            <w:tcW w:type="dxa" w:w="777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Research, mapping, validation, shaping or monitoring.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Future reporting consequence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sz w:val="16"/>
              </w:rPr>
              <w:t>What should change in later reporting if successful.</w:t>
            </w:r>
          </w:p>
        </w:tc>
      </w:tr>
    </w:tbl>
    <w:p/>
    <w:p>
      <w:pPr>
        <w:pStyle w:val="Heading2"/>
      </w:pPr>
      <w:r>
        <w:t>Transformation rejection tests</w:t>
      </w:r>
    </w:p>
    <w:p>
      <w:pPr>
        <w:pStyle w:val="ListBullet"/>
        <w:spacing w:after="40"/>
      </w:pPr>
      <w:r>
        <w:t>Reject generic “AI for customer service” or “AI for productivity” propositions.</w:t>
      </w:r>
    </w:p>
    <w:p>
      <w:pPr>
        <w:pStyle w:val="ListBullet"/>
        <w:spacing w:after="40"/>
      </w:pPr>
      <w:r>
        <w:t>Reject a thesis that cannot name the business unit or cross-enterprise function.</w:t>
      </w:r>
    </w:p>
    <w:p>
      <w:pPr>
        <w:pStyle w:val="ListBullet"/>
        <w:spacing w:after="40"/>
      </w:pPr>
      <w:r>
        <w:t>Reject a thesis without a financial, customer, operational or risk mechanism.</w:t>
      </w:r>
    </w:p>
    <w:p>
      <w:pPr>
        <w:pStyle w:val="ListBullet"/>
        <w:spacing w:after="40"/>
      </w:pPr>
      <w:r>
        <w:t>Reject a thesis that ignores existing programmes or suppliers.</w:t>
      </w:r>
    </w:p>
    <w:p>
      <w:pPr>
        <w:pStyle w:val="ListBullet"/>
        <w:spacing w:after="40"/>
      </w:pPr>
      <w:r>
        <w:t>Reject a thesis that confuses inevitability with commercial accessibility.</w:t>
      </w:r>
    </w:p>
    <w:p>
      <w:pPr>
        <w:pStyle w:val="ListBullet"/>
        <w:spacing w:after="40"/>
      </w:pPr>
      <w:r>
        <w:t>Downgrade to learning where ownership, timing, route to market or baseline economics are Unknown.</w:t>
      </w:r>
    </w:p>
    <w:p>
      <w:r>
        <w:br w:type="page"/>
      </w:r>
    </w:p>
    <w:p>
      <w:pPr>
        <w:pStyle w:val="Heading1"/>
      </w:pPr>
      <w:r>
        <w:t>11. Required Blueprint output</w:t>
      </w:r>
    </w:p>
    <w:p>
      <w:r>
        <w:t>Produce the final Blueprint in the following order unless an enterprise-specific narrative is demonstrably clearer.</w:t>
      </w:r>
    </w:p>
    <w:p>
      <w:pPr>
        <w:pStyle w:val="ListNumber"/>
        <w:spacing w:after="40"/>
      </w:pPr>
      <w:r>
        <w:t>Twin identity, scope, effective date and source cut-off</w:t>
      </w:r>
    </w:p>
    <w:p>
      <w:pPr>
        <w:pStyle w:val="ListNumber"/>
        <w:spacing w:after="40"/>
      </w:pPr>
      <w:r>
        <w:t>Executive synthesis: what is really happening and why it matters</w:t>
      </w:r>
    </w:p>
    <w:p>
      <w:pPr>
        <w:pStyle w:val="ListNumber"/>
        <w:spacing w:after="40"/>
      </w:pPr>
      <w:r>
        <w:t>What changed since the previous period or known baseline</w:t>
      </w:r>
    </w:p>
    <w:p>
      <w:pPr>
        <w:pStyle w:val="ListNumber"/>
        <w:spacing w:after="40"/>
      </w:pPr>
      <w:r>
        <w:t>Corporate ownership, governance, influence and agendas</w:t>
      </w:r>
    </w:p>
    <w:p>
      <w:pPr>
        <w:pStyle w:val="ListNumber"/>
        <w:spacing w:after="40"/>
      </w:pPr>
      <w:r>
        <w:t>Board agenda, burning platforms and credibility risks</w:t>
      </w:r>
    </w:p>
    <w:p>
      <w:pPr>
        <w:pStyle w:val="ListNumber"/>
        <w:spacing w:after="40"/>
      </w:pPr>
      <w:r>
        <w:t>Strategic hopes, enterprise bets and invalidation conditions</w:t>
      </w:r>
    </w:p>
    <w:p>
      <w:pPr>
        <w:pStyle w:val="ListNumber"/>
        <w:spacing w:after="40"/>
      </w:pPr>
      <w:r>
        <w:t>Enterprise structure and business-unit anatomy</w:t>
      </w:r>
    </w:p>
    <w:p>
      <w:pPr>
        <w:pStyle w:val="ListNumber"/>
        <w:spacing w:after="40"/>
      </w:pPr>
      <w:r>
        <w:t>Revenue architecture</w:t>
      </w:r>
    </w:p>
    <w:p>
      <w:pPr>
        <w:pStyle w:val="ListNumber"/>
        <w:spacing w:after="40"/>
      </w:pPr>
      <w:r>
        <w:t>Cost, cash and capital architecture</w:t>
      </w:r>
    </w:p>
    <w:p>
      <w:pPr>
        <w:pStyle w:val="ListNumber"/>
        <w:spacing w:after="40"/>
      </w:pPr>
      <w:r>
        <w:t>Customer and market engine</w:t>
      </w:r>
    </w:p>
    <w:p>
      <w:pPr>
        <w:pStyle w:val="ListNumber"/>
        <w:spacing w:after="40"/>
      </w:pPr>
      <w:r>
        <w:t>Processes, operating model and cross-unit dependencies</w:t>
      </w:r>
    </w:p>
    <w:p>
      <w:pPr>
        <w:pStyle w:val="ListNumber"/>
        <w:spacing w:after="40"/>
      </w:pPr>
      <w:r>
        <w:t>Workforce and capability</w:t>
      </w:r>
    </w:p>
    <w:p>
      <w:pPr>
        <w:pStyle w:val="ListNumber"/>
        <w:spacing w:after="40"/>
      </w:pPr>
      <w:r>
        <w:t>Technology, data, cyber and AI estate</w:t>
      </w:r>
    </w:p>
    <w:p>
      <w:pPr>
        <w:pStyle w:val="ListNumber"/>
        <w:spacing w:after="40"/>
      </w:pPr>
      <w:r>
        <w:t>Suppliers, contracts and procurement</w:t>
      </w:r>
    </w:p>
    <w:p>
      <w:pPr>
        <w:pStyle w:val="ListNumber"/>
        <w:spacing w:after="40"/>
      </w:pPr>
      <w:r>
        <w:t>Transformation portfolio and delivery evidence</w:t>
      </w:r>
    </w:p>
    <w:p>
      <w:pPr>
        <w:pStyle w:val="ListNumber"/>
        <w:spacing w:after="40"/>
      </w:pPr>
      <w:r>
        <w:t>Enterprise behaviour and execution capacity</w:t>
      </w:r>
    </w:p>
    <w:p>
      <w:pPr>
        <w:pStyle w:val="ListNumber"/>
        <w:spacing w:after="40"/>
      </w:pPr>
      <w:r>
        <w:t>Next-financial-release forecast and scenarios</w:t>
      </w:r>
    </w:p>
    <w:p>
      <w:pPr>
        <w:pStyle w:val="ListNumber"/>
        <w:spacing w:after="40"/>
      </w:pPr>
      <w:r>
        <w:t>Flagship AI transformation blueprints</w:t>
      </w:r>
    </w:p>
    <w:p>
      <w:pPr>
        <w:pStyle w:val="ListNumber"/>
        <w:spacing w:after="40"/>
      </w:pPr>
      <w:r>
        <w:t>Executive ownership and relationship map</w:t>
      </w:r>
    </w:p>
    <w:p>
      <w:pPr>
        <w:pStyle w:val="ListNumber"/>
        <w:spacing w:after="40"/>
      </w:pPr>
      <w:r>
        <w:t>Unknowns, Contradictions and competing explanations</w:t>
      </w:r>
    </w:p>
    <w:p>
      <w:pPr>
        <w:pStyle w:val="ListNumber"/>
        <w:spacing w:after="40"/>
      </w:pPr>
      <w:r>
        <w:t>Evidence register and domain coverage</w:t>
      </w:r>
    </w:p>
    <w:p>
      <w:pPr>
        <w:pStyle w:val="ListNumber"/>
        <w:spacing w:after="40"/>
      </w:pPr>
      <w:r>
        <w:t>Questions and next learning actions</w:t>
      </w:r>
    </w:p>
    <w:p>
      <w:pPr>
        <w:pStyle w:val="ListNumber"/>
        <w:spacing w:after="40"/>
      </w:pPr>
      <w:r>
        <w:t>Candidate, reviewed and trusted-state declaration</w:t>
      </w:r>
    </w:p>
    <w:p>
      <w:pPr>
        <w:pStyle w:val="Heading2"/>
      </w:pPr>
      <w:r>
        <w:t>Mandatory artefacts</w:t>
      </w:r>
    </w:p>
    <w:p>
      <w:pPr>
        <w:pStyle w:val="ListBullet"/>
        <w:spacing w:after="40"/>
      </w:pPr>
      <w:r>
        <w:t>Corporate ownership map</w:t>
      </w:r>
    </w:p>
    <w:p>
      <w:pPr>
        <w:pStyle w:val="ListBullet"/>
        <w:spacing w:after="40"/>
      </w:pPr>
      <w:r>
        <w:t>Governance and committee map</w:t>
      </w:r>
    </w:p>
    <w:p>
      <w:pPr>
        <w:pStyle w:val="ListBullet"/>
        <w:spacing w:after="40"/>
      </w:pPr>
      <w:r>
        <w:t>Influence and agenda network</w:t>
      </w:r>
    </w:p>
    <w:p>
      <w:pPr>
        <w:pStyle w:val="ListBullet"/>
        <w:spacing w:after="40"/>
      </w:pPr>
      <w:r>
        <w:t>Board agenda and anxiety map</w:t>
      </w:r>
    </w:p>
    <w:p>
      <w:pPr>
        <w:pStyle w:val="ListBullet"/>
        <w:spacing w:after="40"/>
      </w:pPr>
      <w:r>
        <w:t>Burning platform register</w:t>
      </w:r>
    </w:p>
    <w:p>
      <w:pPr>
        <w:pStyle w:val="ListBullet"/>
        <w:spacing w:after="40"/>
      </w:pPr>
      <w:r>
        <w:t>Strategic bet register</w:t>
      </w:r>
    </w:p>
    <w:p>
      <w:pPr>
        <w:pStyle w:val="ListBullet"/>
        <w:spacing w:after="40"/>
      </w:pPr>
      <w:r>
        <w:t>Enterprise and business-unit structure map</w:t>
      </w:r>
    </w:p>
    <w:p>
      <w:pPr>
        <w:pStyle w:val="ListBullet"/>
        <w:spacing w:after="40"/>
      </w:pPr>
      <w:r>
        <w:t>Business-unit anatomy cards</w:t>
      </w:r>
    </w:p>
    <w:p>
      <w:pPr>
        <w:pStyle w:val="ListBullet"/>
        <w:spacing w:after="40"/>
      </w:pPr>
      <w:r>
        <w:t>Revenue driver trees</w:t>
      </w:r>
    </w:p>
    <w:p>
      <w:pPr>
        <w:pStyle w:val="ListBullet"/>
        <w:spacing w:after="40"/>
      </w:pPr>
      <w:r>
        <w:t>Cost driver trees</w:t>
      </w:r>
    </w:p>
    <w:p>
      <w:pPr>
        <w:pStyle w:val="ListBullet"/>
        <w:spacing w:after="40"/>
      </w:pPr>
      <w:r>
        <w:t>Profit-to-cash and capital bridge</w:t>
      </w:r>
    </w:p>
    <w:p>
      <w:pPr>
        <w:pStyle w:val="ListBullet"/>
        <w:spacing w:after="40"/>
      </w:pPr>
      <w:r>
        <w:t>Customer and market engine</w:t>
      </w:r>
    </w:p>
    <w:p>
      <w:pPr>
        <w:pStyle w:val="ListBullet"/>
        <w:spacing w:after="40"/>
      </w:pPr>
      <w:r>
        <w:t>Workforce and capability map</w:t>
      </w:r>
    </w:p>
    <w:p>
      <w:pPr>
        <w:pStyle w:val="ListBullet"/>
        <w:spacing w:after="40"/>
      </w:pPr>
      <w:r>
        <w:t>Process and value-stream map</w:t>
      </w:r>
    </w:p>
    <w:p>
      <w:pPr>
        <w:pStyle w:val="ListBullet"/>
        <w:spacing w:after="40"/>
      </w:pPr>
      <w:r>
        <w:t>Technology and data platform map</w:t>
      </w:r>
    </w:p>
    <w:p>
      <w:pPr>
        <w:pStyle w:val="ListBullet"/>
        <w:spacing w:after="40"/>
      </w:pPr>
      <w:r>
        <w:t>Supplier and contract map</w:t>
      </w:r>
    </w:p>
    <w:p>
      <w:pPr>
        <w:pStyle w:val="ListBullet"/>
        <w:spacing w:after="40"/>
      </w:pPr>
      <w:r>
        <w:t>Transformation portfolio</w:t>
      </w:r>
    </w:p>
    <w:p>
      <w:pPr>
        <w:pStyle w:val="ListBullet"/>
        <w:spacing w:after="40"/>
      </w:pPr>
      <w:r>
        <w:t>Behaviour and execution assessment</w:t>
      </w:r>
    </w:p>
    <w:p>
      <w:pPr>
        <w:pStyle w:val="ListBullet"/>
        <w:spacing w:after="40"/>
      </w:pPr>
      <w:r>
        <w:t>Leading-indicator register</w:t>
      </w:r>
    </w:p>
    <w:p>
      <w:pPr>
        <w:pStyle w:val="ListBullet"/>
        <w:spacing w:after="40"/>
      </w:pPr>
      <w:r>
        <w:t>Next-release scenarios</w:t>
      </w:r>
    </w:p>
    <w:p>
      <w:pPr>
        <w:pStyle w:val="ListBullet"/>
        <w:spacing w:after="40"/>
      </w:pPr>
      <w:r>
        <w:t>Transformation thesis register</w:t>
      </w:r>
    </w:p>
    <w:p>
      <w:pPr>
        <w:pStyle w:val="ListBullet"/>
        <w:spacing w:after="40"/>
      </w:pPr>
      <w:r>
        <w:t>Flagship AI transformation blueprints</w:t>
      </w:r>
    </w:p>
    <w:p>
      <w:pPr>
        <w:pStyle w:val="ListBullet"/>
        <w:spacing w:after="40"/>
      </w:pPr>
      <w:r>
        <w:t>Evidence, Unknown and Contradiction register</w:t>
      </w:r>
    </w:p>
    <w:p>
      <w:pPr>
        <w:pStyle w:val="ListBullet"/>
        <w:spacing w:after="40"/>
      </w:pPr>
      <w:r>
        <w:t>Coverage matrix</w:t>
      </w:r>
    </w:p>
    <w:p>
      <w:pPr>
        <w:pStyle w:val="ListBullet"/>
        <w:spacing w:after="40"/>
      </w:pPr>
      <w:r>
        <w:t>Transparent research record</w:t>
      </w:r>
    </w:p>
    <w:p>
      <w:pPr>
        <w:pStyle w:val="Heading1"/>
      </w:pPr>
      <w:r>
        <w:t>12. Coverage and confidence</w:t>
      </w:r>
    </w:p>
    <w:p>
      <w:r>
        <w:t>Never use one overall completeness score. Report depth, evidence strength, freshness and gaps by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01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9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Depth</w:t>
            </w:r>
          </w:p>
        </w:tc>
        <w:tc>
          <w:tcPr>
            <w:tcW w:type="dxa" w:w="129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5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Freshness</w:t>
            </w:r>
          </w:p>
        </w:tc>
        <w:tc>
          <w:tcPr>
            <w:tcW w:type="dxa" w:w="2232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Important gaps</w:t>
            </w:r>
          </w:p>
        </w:tc>
        <w:tc>
          <w:tcPr>
            <w:tcW w:type="dxa" w:w="2016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Next 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Ownership and influence</w:t>
            </w:r>
          </w:p>
        </w:tc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Board agenda</w:t>
            </w:r>
          </w:p>
        </w:tc>
        <w:tc>
          <w:tcPr>
            <w:tcW w:type="dxa" w:w="7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Revenue and costs</w:t>
            </w:r>
          </w:p>
        </w:tc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Business units and processes</w:t>
            </w:r>
          </w:p>
        </w:tc>
        <w:tc>
          <w:tcPr>
            <w:tcW w:type="dxa" w:w="7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People, technology and suppliers</w:t>
            </w:r>
          </w:p>
        </w:tc>
        <w:tc>
          <w:tcPr>
            <w:tcW w:type="dxa" w:w="792"/>
            <w:vAlign w:val="top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  <w:tr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Forecast and transformation</w:t>
            </w:r>
          </w:p>
        </w:tc>
        <w:tc>
          <w:tcPr>
            <w:tcW w:type="dxa" w:w="79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0–6</w:t>
            </w:r>
          </w:p>
        </w:tc>
        <w:tc>
          <w:tcPr>
            <w:tcW w:type="dxa" w:w="129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High/Med/Low</w:t>
            </w:r>
          </w:p>
        </w:tc>
        <w:tc>
          <w:tcPr>
            <w:tcW w:type="dxa" w:w="115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Current/Stale</w:t>
            </w:r>
          </w:p>
        </w:tc>
        <w:tc>
          <w:tcPr>
            <w:tcW w:type="dxa" w:w="2232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State Unknowns</w:t>
            </w:r>
          </w:p>
        </w:tc>
        <w:tc>
          <w:tcPr>
            <w:tcW w:type="dxa" w:w="2016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Research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13. Red-team review</w:t>
      </w:r>
    </w:p>
    <w:p>
      <w:r>
        <w:t>Before finalising, challenge the Blueprint using these questions.</w:t>
      </w:r>
    </w:p>
    <w:p>
      <w:pPr>
        <w:pStyle w:val="ListBullet"/>
        <w:spacing w:after="40"/>
      </w:pPr>
      <w:r>
        <w:t>Could this analysis have been written about a different enterprise with only the name changed?</w:t>
      </w:r>
    </w:p>
    <w:p>
      <w:pPr>
        <w:pStyle w:val="ListBullet"/>
        <w:spacing w:after="40"/>
      </w:pPr>
      <w:r>
        <w:t>Which material conclusion stops at Group or segment level without operating evidence?</w:t>
      </w:r>
    </w:p>
    <w:p>
      <w:pPr>
        <w:pStyle w:val="ListBullet"/>
        <w:spacing w:after="40"/>
      </w:pPr>
      <w:r>
        <w:t>What would a sceptical CFO, COO, CIO, regulator or incumbent supplier contest?</w:t>
      </w:r>
    </w:p>
    <w:p>
      <w:pPr>
        <w:pStyle w:val="ListBullet"/>
        <w:spacing w:after="40"/>
      </w:pPr>
      <w:r>
        <w:t>Which board anxiety is evidenced, and which is merely plausible?</w:t>
      </w:r>
    </w:p>
    <w:p>
      <w:pPr>
        <w:pStyle w:val="ListBullet"/>
        <w:spacing w:after="40"/>
      </w:pPr>
      <w:r>
        <w:t>Which revenue or cost driver is still unexplained?</w:t>
      </w:r>
    </w:p>
    <w:p>
      <w:pPr>
        <w:pStyle w:val="ListBullet"/>
        <w:spacing w:after="40"/>
      </w:pPr>
      <w:r>
        <w:t>Where have allocation, adjusted measures or management framing hidden the underlying economics?</w:t>
      </w:r>
    </w:p>
    <w:p>
      <w:pPr>
        <w:pStyle w:val="ListBullet"/>
        <w:spacing w:after="40"/>
      </w:pPr>
      <w:r>
        <w:t>Which issue is a consequence rather than the root mechanism?</w:t>
      </w:r>
    </w:p>
    <w:p>
      <w:pPr>
        <w:pStyle w:val="ListBullet"/>
        <w:spacing w:after="40"/>
      </w:pPr>
      <w:r>
        <w:t>Which strategic bet has weak leading indicators or unclear ownership?</w:t>
      </w:r>
    </w:p>
    <w:p>
      <w:pPr>
        <w:pStyle w:val="ListBullet"/>
        <w:spacing w:after="40"/>
      </w:pPr>
      <w:r>
        <w:t>Which programme is already funded or controlled by an incumbent?</w:t>
      </w:r>
    </w:p>
    <w:p>
      <w:pPr>
        <w:pStyle w:val="ListBullet"/>
        <w:spacing w:after="40"/>
      </w:pPr>
      <w:r>
        <w:t>Which inference relies on one weak source?</w:t>
      </w:r>
    </w:p>
    <w:p>
      <w:pPr>
        <w:pStyle w:val="ListBullet"/>
        <w:spacing w:after="40"/>
      </w:pPr>
      <w:r>
        <w:t>What evidence would falsify the strongest transformation thesis?</w:t>
      </w:r>
    </w:p>
    <w:p>
      <w:pPr>
        <w:pStyle w:val="ListBullet"/>
        <w:spacing w:after="40"/>
      </w:pPr>
      <w:r>
        <w:t>What will probably change in the next financial release, and what observable evidence would prove the forecast wrong?</w:t>
      </w:r>
    </w:p>
    <w:p>
      <w:pPr>
        <w:pStyle w:val="ListBullet"/>
        <w:spacing w:after="40"/>
      </w:pPr>
      <w:r>
        <w:t>What should Rob learn before beginning a sales conversation?</w:t>
      </w:r>
    </w:p>
    <w:p>
      <w:pPr>
        <w:pStyle w:val="Heading1"/>
      </w:pPr>
      <w:r>
        <w:t>14. Completion and acceptance</w:t>
      </w:r>
    </w:p>
    <w:p>
      <w:r>
        <w:t>A Blueprint is complete only when it can answer the following with evidence and clear uncertainty:</w:t>
      </w:r>
    </w:p>
    <w:p>
      <w:pPr>
        <w:pStyle w:val="ListNumber"/>
        <w:spacing w:after="40"/>
      </w:pPr>
      <w:r>
        <w:t>Who owns, controls and influences the enterprise?</w:t>
      </w:r>
    </w:p>
    <w:p>
      <w:pPr>
        <w:pStyle w:val="ListNumber"/>
        <w:spacing w:after="40"/>
      </w:pPr>
      <w:r>
        <w:t>What must the board defend, fix, deliver and prove?</w:t>
      </w:r>
    </w:p>
    <w:p>
      <w:pPr>
        <w:pStyle w:val="ListNumber"/>
        <w:spacing w:after="40"/>
      </w:pPr>
      <w:r>
        <w:t>Which issues are genuine burning platforms?</w:t>
      </w:r>
    </w:p>
    <w:p>
      <w:pPr>
        <w:pStyle w:val="ListNumber"/>
        <w:spacing w:after="40"/>
      </w:pPr>
      <w:r>
        <w:t>Which hopes and bets management is relying on?</w:t>
      </w:r>
    </w:p>
    <w:p>
      <w:pPr>
        <w:pStyle w:val="ListNumber"/>
        <w:spacing w:after="40"/>
      </w:pPr>
      <w:r>
        <w:t>How does the enterprise generate the substantial majority of its revenue?</w:t>
      </w:r>
    </w:p>
    <w:p>
      <w:pPr>
        <w:pStyle w:val="ListNumber"/>
        <w:spacing w:after="40"/>
      </w:pPr>
      <w:r>
        <w:t>How are material costs structured and controlled?</w:t>
      </w:r>
    </w:p>
    <w:p>
      <w:pPr>
        <w:pStyle w:val="ListNumber"/>
        <w:spacing w:after="40"/>
      </w:pPr>
      <w:r>
        <w:t>Why does profit convert, or fail to convert, into cash?</w:t>
      </w:r>
    </w:p>
    <w:p>
      <w:pPr>
        <w:pStyle w:val="ListNumber"/>
        <w:spacing w:after="40"/>
      </w:pPr>
      <w:r>
        <w:t>Which business units create or destroy value?</w:t>
      </w:r>
    </w:p>
    <w:p>
      <w:pPr>
        <w:pStyle w:val="ListNumber"/>
        <w:spacing w:after="40"/>
      </w:pPr>
      <w:r>
        <w:t>How do processes, people, platforms, data and suppliers produce those outcomes?</w:t>
      </w:r>
    </w:p>
    <w:p>
      <w:pPr>
        <w:pStyle w:val="ListNumber"/>
        <w:spacing w:after="40"/>
      </w:pPr>
      <w:r>
        <w:t>Where are delay, failure, rework, leakage, duplication and constraint occurring?</w:t>
      </w:r>
    </w:p>
    <w:p>
      <w:pPr>
        <w:pStyle w:val="ListNumber"/>
        <w:spacing w:after="40"/>
      </w:pPr>
      <w:r>
        <w:t>What stops the enterprise from changing effectively?</w:t>
      </w:r>
    </w:p>
    <w:p>
      <w:pPr>
        <w:pStyle w:val="ListNumber"/>
        <w:spacing w:after="40"/>
      </w:pPr>
      <w:r>
        <w:t>Which leading indicators will shape the next release?</w:t>
      </w:r>
    </w:p>
    <w:p>
      <w:pPr>
        <w:pStyle w:val="ListNumber"/>
        <w:spacing w:after="40"/>
      </w:pPr>
      <w:r>
        <w:t>What are the baseline, upside and downside outcomes?</w:t>
      </w:r>
    </w:p>
    <w:p>
      <w:pPr>
        <w:pStyle w:val="ListNumber"/>
        <w:spacing w:after="40"/>
      </w:pPr>
      <w:r>
        <w:t>What is management likely to say next?</w:t>
      </w:r>
    </w:p>
    <w:p>
      <w:pPr>
        <w:pStyle w:val="ListNumber"/>
        <w:spacing w:after="40"/>
      </w:pPr>
      <w:r>
        <w:t>Which flagship transformations are supported by enterprise mechanics?</w:t>
      </w:r>
    </w:p>
    <w:p>
      <w:pPr>
        <w:pStyle w:val="ListNumber"/>
        <w:spacing w:after="40"/>
      </w:pPr>
      <w:r>
        <w:t>Who would own or resist them?</w:t>
      </w:r>
    </w:p>
    <w:p>
      <w:pPr>
        <w:pStyle w:val="ListNumber"/>
        <w:spacing w:after="40"/>
      </w:pPr>
      <w:r>
        <w:t>What is already being delivered and by whom?</w:t>
      </w:r>
    </w:p>
    <w:p>
      <w:pPr>
        <w:pStyle w:val="ListNumber"/>
        <w:spacing w:after="40"/>
      </w:pPr>
      <w:r>
        <w:t>Is the change commercially accessible?</w:t>
      </w:r>
    </w:p>
    <w:p>
      <w:pPr>
        <w:pStyle w:val="ListNumber"/>
        <w:spacing w:after="40"/>
      </w:pPr>
      <w:r>
        <w:t>What Evidence supports and contradicts the view?</w:t>
      </w:r>
    </w:p>
    <w:p>
      <w:pPr>
        <w:pStyle w:val="ListNumber"/>
        <w:spacing w:after="40"/>
      </w:pPr>
      <w:r>
        <w:t>What remains Unknown and what should be learned next?</w:t>
      </w:r>
    </w:p>
    <w:p>
      <w:pPr>
        <w:pStyle w:val="ListNumber"/>
        <w:spacing w:after="40"/>
      </w:pPr>
      <w:r>
        <w:t>Has the Blueprint materially changed the strategic user’s understanding?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5"/>
          </w:tcPr>
          <w:p>
            <w:pPr>
              <w:jc w:val="left"/>
            </w:pPr>
            <w:r/>
            <w:r>
              <w:rPr>
                <w:b/>
                <w:color w:val="172A3A"/>
                <w:sz w:val="20"/>
              </w:rPr>
              <w:t>Completion is not the absence of Unknowns. Completion is an honest, evidence-backed explanation of what is known, inferred, disputed and worth learning next.</w:t>
            </w:r>
          </w:p>
        </w:tc>
      </w:tr>
    </w:tbl>
    <w:p/>
    <w:p>
      <w:pPr>
        <w:pStyle w:val="Heading1"/>
      </w:pPr>
      <w:r>
        <w:t>15. Research transparency record</w:t>
      </w:r>
    </w:p>
    <w:p>
      <w:r>
        <w:t>Preserve a bounded execution record for every run:</w:t>
      </w:r>
    </w:p>
    <w:p>
      <w:pPr>
        <w:pStyle w:val="ListBullet"/>
        <w:spacing w:after="40"/>
      </w:pPr>
      <w:r>
        <w:t>research brief and enterprise scope;</w:t>
      </w:r>
    </w:p>
    <w:p>
      <w:pPr>
        <w:pStyle w:val="ListBullet"/>
        <w:spacing w:after="40"/>
      </w:pPr>
      <w:r>
        <w:t>source plan and sources actually reviewed;</w:t>
      </w:r>
    </w:p>
    <w:p>
      <w:pPr>
        <w:pStyle w:val="ListBullet"/>
        <w:spacing w:after="40"/>
      </w:pPr>
      <w:r>
        <w:t>search questions and model-visible instructions;</w:t>
      </w:r>
    </w:p>
    <w:p>
      <w:pPr>
        <w:pStyle w:val="ListBullet"/>
        <w:spacing w:after="40"/>
      </w:pPr>
      <w:r>
        <w:t>material facts and calculations;</w:t>
      </w:r>
    </w:p>
    <w:p>
      <w:pPr>
        <w:pStyle w:val="ListBullet"/>
        <w:spacing w:after="40"/>
      </w:pPr>
      <w:r>
        <w:t>assumptions and interpretations;</w:t>
      </w:r>
    </w:p>
    <w:p>
      <w:pPr>
        <w:pStyle w:val="ListBullet"/>
        <w:spacing w:after="40"/>
      </w:pPr>
      <w:r>
        <w:t>rejected evidence and reason;</w:t>
      </w:r>
    </w:p>
    <w:p>
      <w:pPr>
        <w:pStyle w:val="ListBullet"/>
        <w:spacing w:after="40"/>
      </w:pPr>
      <w:r>
        <w:t>competing hypotheses and contradictions;</w:t>
      </w:r>
    </w:p>
    <w:p>
      <w:pPr>
        <w:pStyle w:val="ListBullet"/>
        <w:spacing w:after="40"/>
      </w:pPr>
      <w:r>
        <w:t>coverage gaps and confidence decisions;</w:t>
      </w:r>
    </w:p>
    <w:p>
      <w:pPr>
        <w:pStyle w:val="ListBullet"/>
        <w:spacing w:after="40"/>
      </w:pPr>
      <w:r>
        <w:t>human interventions and corrections;</w:t>
      </w:r>
    </w:p>
    <w:p>
      <w:pPr>
        <w:pStyle w:val="ListBullet"/>
        <w:spacing w:after="40"/>
      </w:pPr>
      <w:r>
        <w:t>final causal reasoning summaries;</w:t>
      </w:r>
    </w:p>
    <w:p>
      <w:pPr>
        <w:pStyle w:val="ListBullet"/>
        <w:spacing w:after="40"/>
      </w:pPr>
      <w:r>
        <w:t>version, refresh triggers and acceptance state.</w:t>
      </w:r>
    </w:p>
    <w:p>
      <w:r>
        <w:t>Do not expose credentials, private system instructions or hidden chain-of-thought. Transparency means inspectable inputs, outputs, decisions and lineage—not unrestricted internal reasoning.</w:t>
      </w:r>
    </w:p>
    <w:p>
      <w:r>
        <w:br w:type="page"/>
      </w:r>
    </w:p>
    <w:p>
      <w:pPr>
        <w:pStyle w:val="Heading1"/>
      </w:pPr>
      <w:r>
        <w:t>Appendix A — Enterprise research brief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173A4A"/>
            <w:vAlign w:val="center"/>
          </w:tcPr>
          <w:p>
            <w:r>
              <w:rPr>
                <w:b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Legal and commonly used name; identifier where available.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Why this enterprise is being modelled and which commercial decisions the Twin should improve.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Group, geographies, business units, reporting period and exclusions.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Date the Twin represents.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cut-off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Latest evidence date allowed in this version.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Known priorities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Questions or hypotheses to test without biasing the research.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Human context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Labelled knowledge supplied by Rob or another contributor.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Required depth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Expected levels and domains; identify any deliberate exclusions.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Output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Blueprint, evidence register, coverage matrix and transformation blueprints.</w:t>
            </w:r>
          </w:p>
        </w:tc>
      </w:tr>
      <w:tr>
        <w:tc>
          <w:tcPr>
            <w:tcW w:type="dxa" w:w="216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7920"/>
            <w:vAlign w:val="top"/>
            <w:shd w:fill="F4F7F8"/>
          </w:tcPr>
          <w:p>
            <w:pPr>
              <w:spacing w:after="20"/>
            </w:pPr>
            <w:r>
              <w:rPr>
                <w:sz w:val="16"/>
              </w:rPr>
              <w:t>Reviewer and decision criteria.</w:t>
            </w:r>
          </w:p>
        </w:tc>
      </w:tr>
    </w:tbl>
    <w:p/>
    <w:p>
      <w:pPr>
        <w:pStyle w:val="Heading1"/>
      </w:pPr>
      <w:r>
        <w:t>Appendix B — Business-Unit Anatomy card</w:t>
      </w:r>
    </w:p>
    <w:p>
      <w:pPr>
        <w:pStyle w:val="ListBullet"/>
        <w:spacing w:after="40"/>
      </w:pPr>
      <w:r>
        <w:t>Unit name and role</w:t>
      </w:r>
    </w:p>
    <w:p>
      <w:pPr>
        <w:pStyle w:val="ListBullet"/>
        <w:spacing w:after="40"/>
      </w:pPr>
      <w:r>
        <w:t>Leadership and decision rights</w:t>
      </w:r>
    </w:p>
    <w:p>
      <w:pPr>
        <w:pStyle w:val="ListBullet"/>
        <w:spacing w:after="40"/>
      </w:pPr>
      <w:r>
        <w:t>Customers, products, channels and geographies</w:t>
      </w:r>
    </w:p>
    <w:p>
      <w:pPr>
        <w:pStyle w:val="ListBullet"/>
        <w:spacing w:after="40"/>
      </w:pPr>
      <w:r>
        <w:t>Revenue and driver tree</w:t>
      </w:r>
    </w:p>
    <w:p>
      <w:pPr>
        <w:pStyle w:val="ListBullet"/>
        <w:spacing w:after="40"/>
      </w:pPr>
      <w:r>
        <w:t>Direct, allocated and structural cost</w:t>
      </w:r>
    </w:p>
    <w:p>
      <w:pPr>
        <w:pStyle w:val="ListBullet"/>
        <w:spacing w:after="40"/>
      </w:pPr>
      <w:r>
        <w:t>Cash and capital contribution</w:t>
      </w:r>
    </w:p>
    <w:p>
      <w:pPr>
        <w:pStyle w:val="ListBullet"/>
        <w:spacing w:after="40"/>
      </w:pPr>
      <w:r>
        <w:t>Workforce and capability</w:t>
      </w:r>
    </w:p>
    <w:p>
      <w:pPr>
        <w:pStyle w:val="ListBullet"/>
        <w:spacing w:after="40"/>
      </w:pPr>
      <w:r>
        <w:t>Value streams and operating KPIs</w:t>
      </w:r>
    </w:p>
    <w:p>
      <w:pPr>
        <w:pStyle w:val="ListBullet"/>
        <w:spacing w:after="40"/>
      </w:pPr>
      <w:r>
        <w:t>Platforms, data and integrations</w:t>
      </w:r>
    </w:p>
    <w:p>
      <w:pPr>
        <w:pStyle w:val="ListBullet"/>
        <w:spacing w:after="40"/>
      </w:pPr>
      <w:r>
        <w:t>Suppliers and contract constraints</w:t>
      </w:r>
    </w:p>
    <w:p>
      <w:pPr>
        <w:pStyle w:val="ListBullet"/>
        <w:spacing w:after="40"/>
      </w:pPr>
      <w:r>
        <w:t>Current programmes and benefits</w:t>
      </w:r>
    </w:p>
    <w:p>
      <w:pPr>
        <w:pStyle w:val="ListBullet"/>
        <w:spacing w:after="40"/>
      </w:pPr>
      <w:r>
        <w:t>Issues, leakage and failure mechanisms</w:t>
      </w:r>
    </w:p>
    <w:p>
      <w:pPr>
        <w:pStyle w:val="ListBullet"/>
        <w:spacing w:after="40"/>
      </w:pPr>
      <w:r>
        <w:t>Leading indicators and next-release implications</w:t>
      </w:r>
    </w:p>
    <w:p>
      <w:pPr>
        <w:pStyle w:val="ListBullet"/>
        <w:spacing w:after="40"/>
      </w:pPr>
      <w:r>
        <w:t>Transformation theses</w:t>
      </w:r>
    </w:p>
    <w:p>
      <w:pPr>
        <w:pStyle w:val="ListBullet"/>
        <w:spacing w:after="40"/>
      </w:pPr>
      <w:r>
        <w:t>Evidence, Contradictions and Unknowns</w:t>
      </w:r>
    </w:p>
    <w:p>
      <w:pPr>
        <w:pStyle w:val="Heading1"/>
      </w:pPr>
      <w:r>
        <w:t>Appendix C — Forecast object</w:t>
      </w:r>
    </w:p>
    <w:p>
      <w:pPr>
        <w:pStyle w:val="ListBullet"/>
        <w:spacing w:after="40"/>
      </w:pPr>
      <w:r>
        <w:t>Metric or KPI</w:t>
      </w:r>
    </w:p>
    <w:p>
      <w:pPr>
        <w:pStyle w:val="ListBullet"/>
        <w:spacing w:after="40"/>
      </w:pPr>
      <w:r>
        <w:t>Current reported state</w:t>
      </w:r>
    </w:p>
    <w:p>
      <w:pPr>
        <w:pStyle w:val="ListBullet"/>
        <w:spacing w:after="40"/>
      </w:pPr>
      <w:r>
        <w:t>Management guidance and target</w:t>
      </w:r>
    </w:p>
    <w:p>
      <w:pPr>
        <w:pStyle w:val="ListBullet"/>
        <w:spacing w:after="40"/>
      </w:pPr>
      <w:r>
        <w:t>Twin baseline range or direction</w:t>
      </w:r>
    </w:p>
    <w:p>
      <w:pPr>
        <w:pStyle w:val="ListBullet"/>
        <w:spacing w:after="40"/>
      </w:pPr>
      <w:r>
        <w:t>Driver bridge</w:t>
      </w:r>
    </w:p>
    <w:p>
      <w:pPr>
        <w:pStyle w:val="ListBullet"/>
        <w:spacing w:after="40"/>
      </w:pPr>
      <w:r>
        <w:t>Leading indicators</w:t>
      </w:r>
    </w:p>
    <w:p>
      <w:pPr>
        <w:pStyle w:val="ListBullet"/>
        <w:spacing w:after="40"/>
      </w:pPr>
      <w:r>
        <w:t>Upside conditions</w:t>
      </w:r>
    </w:p>
    <w:p>
      <w:pPr>
        <w:pStyle w:val="ListBullet"/>
        <w:spacing w:after="40"/>
      </w:pPr>
      <w:r>
        <w:t>Downside conditions</w:t>
      </w:r>
    </w:p>
    <w:p>
      <w:pPr>
        <w:pStyle w:val="ListBullet"/>
        <w:spacing w:after="40"/>
      </w:pPr>
      <w:r>
        <w:t>Contradictory evidence</w:t>
      </w:r>
    </w:p>
    <w:p>
      <w:pPr>
        <w:pStyle w:val="ListBullet"/>
        <w:spacing w:after="40"/>
      </w:pPr>
      <w:r>
        <w:t>Expected management narrative</w:t>
      </w:r>
    </w:p>
    <w:p>
      <w:pPr>
        <w:pStyle w:val="ListBullet"/>
        <w:spacing w:after="40"/>
      </w:pPr>
      <w:r>
        <w:t>Confidence and update triggers</w:t>
      </w:r>
    </w:p>
    <w:p>
      <w:pPr>
        <w:pStyle w:val="Heading1"/>
      </w:pPr>
      <w:r>
        <w:t>Appendix D — Flagship transformation blueprint</w:t>
      </w:r>
    </w:p>
    <w:p>
      <w:pPr>
        <w:pStyle w:val="ListBullet"/>
        <w:spacing w:after="40"/>
      </w:pPr>
      <w:r>
        <w:t>Enterprise problem and board relevance</w:t>
      </w:r>
    </w:p>
    <w:p>
      <w:pPr>
        <w:pStyle w:val="ListBullet"/>
        <w:spacing w:after="40"/>
      </w:pPr>
      <w:r>
        <w:t>Business units and value pools affected</w:t>
      </w:r>
    </w:p>
    <w:p>
      <w:pPr>
        <w:pStyle w:val="ListBullet"/>
        <w:spacing w:after="40"/>
      </w:pPr>
      <w:r>
        <w:t>Causal chain</w:t>
      </w:r>
    </w:p>
    <w:p>
      <w:pPr>
        <w:pStyle w:val="ListBullet"/>
        <w:spacing w:after="40"/>
      </w:pPr>
      <w:r>
        <w:t>Transformation proposition</w:t>
      </w:r>
    </w:p>
    <w:p>
      <w:pPr>
        <w:pStyle w:val="ListBullet"/>
        <w:spacing w:after="40"/>
      </w:pPr>
      <w:r>
        <w:t>Specific AI role</w:t>
      </w:r>
    </w:p>
    <w:p>
      <w:pPr>
        <w:pStyle w:val="ListBullet"/>
        <w:spacing w:after="40"/>
      </w:pPr>
      <w:r>
        <w:t>Process, data, platform, workforce and control dependencies</w:t>
      </w:r>
    </w:p>
    <w:p>
      <w:pPr>
        <w:pStyle w:val="ListBullet"/>
        <w:spacing w:after="40"/>
      </w:pPr>
      <w:r>
        <w:t>Scale and value mechanisms</w:t>
      </w:r>
    </w:p>
    <w:p>
      <w:pPr>
        <w:pStyle w:val="ListBullet"/>
        <w:spacing w:after="40"/>
      </w:pPr>
      <w:r>
        <w:t>Why now</w:t>
      </w:r>
    </w:p>
    <w:p>
      <w:pPr>
        <w:pStyle w:val="ListBullet"/>
        <w:spacing w:after="40"/>
      </w:pPr>
      <w:r>
        <w:t>Executive ownership</w:t>
      </w:r>
    </w:p>
    <w:p>
      <w:pPr>
        <w:pStyle w:val="ListBullet"/>
        <w:spacing w:after="40"/>
      </w:pPr>
      <w:r>
        <w:t>Existing programmes, suppliers and incumbents</w:t>
      </w:r>
    </w:p>
    <w:p>
      <w:pPr>
        <w:pStyle w:val="ListBullet"/>
        <w:spacing w:after="40"/>
      </w:pPr>
      <w:r>
        <w:t>Commercial accessibility</w:t>
      </w:r>
    </w:p>
    <w:p>
      <w:pPr>
        <w:pStyle w:val="ListBullet"/>
        <w:spacing w:after="40"/>
      </w:pPr>
      <w:r>
        <w:t>Evidence and Signals</w:t>
      </w:r>
    </w:p>
    <w:p>
      <w:pPr>
        <w:pStyle w:val="ListBullet"/>
        <w:spacing w:after="40"/>
      </w:pPr>
      <w:r>
        <w:t>Contradictions, Unknowns and falsification questions</w:t>
      </w:r>
    </w:p>
    <w:p>
      <w:pPr>
        <w:pStyle w:val="ListBullet"/>
        <w:spacing w:after="40"/>
      </w:pPr>
      <w:r>
        <w:t>Next learning action</w:t>
      </w:r>
    </w:p>
    <w:p>
      <w:pPr>
        <w:pStyle w:val="ListBullet"/>
        <w:spacing w:after="40"/>
      </w:pPr>
      <w:r>
        <w:t>Expected future reporting consequence</w:t>
      </w:r>
    </w:p>
    <w:p>
      <w:pPr>
        <w:pStyle w:val="Heading1"/>
      </w:pPr>
      <w:r>
        <w:t>Appendix E — End-of-run completion statement</w:t>
      </w:r>
    </w:p>
    <w:p>
      <w:pPr>
        <w:pStyle w:val="ListBullet"/>
        <w:spacing w:after="40"/>
      </w:pPr>
      <w:r>
        <w:t>Depth achieved by domain</w:t>
      </w:r>
    </w:p>
    <w:p>
      <w:pPr>
        <w:pStyle w:val="ListBullet"/>
        <w:spacing w:after="40"/>
      </w:pPr>
      <w:r>
        <w:t>Strong, partial and weak evidence areas</w:t>
      </w:r>
    </w:p>
    <w:p>
      <w:pPr>
        <w:pStyle w:val="ListBullet"/>
        <w:spacing w:after="40"/>
      </w:pPr>
      <w:r>
        <w:t>Most important Unknowns ranked by decision impact</w:t>
      </w:r>
    </w:p>
    <w:p>
      <w:pPr>
        <w:pStyle w:val="ListBullet"/>
        <w:spacing w:after="40"/>
      </w:pPr>
      <w:r>
        <w:t>Most important Contradictions</w:t>
      </w:r>
    </w:p>
    <w:p>
      <w:pPr>
        <w:pStyle w:val="ListBullet"/>
        <w:spacing w:after="40"/>
      </w:pPr>
      <w:r>
        <w:t>Forecast confidence and scenarios</w:t>
      </w:r>
    </w:p>
    <w:p>
      <w:pPr>
        <w:pStyle w:val="ListBullet"/>
        <w:spacing w:after="40"/>
      </w:pPr>
      <w:r>
        <w:t>Strongest and weakest transformation theses</w:t>
      </w:r>
    </w:p>
    <w:p>
      <w:pPr>
        <w:pStyle w:val="ListBullet"/>
        <w:spacing w:after="40"/>
      </w:pPr>
      <w:r>
        <w:t>Commercial accessibility state</w:t>
      </w:r>
    </w:p>
    <w:p>
      <w:pPr>
        <w:pStyle w:val="ListBullet"/>
        <w:spacing w:after="40"/>
      </w:pPr>
      <w:r>
        <w:t>Recommended next learning actions</w:t>
      </w:r>
    </w:p>
    <w:p>
      <w:pPr>
        <w:pStyle w:val="ListBullet"/>
        <w:spacing w:after="40"/>
      </w:pPr>
      <w:r>
        <w:t>Candidate, reviewed or accepted state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46C"/>
        <w:sz w:val="15"/>
      </w:rPr>
      <w:t>Working Draft v0.2  |  Canonical contract: Commercial-Digital-Twin-Blueprint-Contract.md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46C"/>
        <w:sz w:val="16"/>
      </w:rPr>
      <w:t>CIOS | Commercial Digital Twin Research Agent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2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 w:val="0"/>
      <w:i/>
      <w:iCs/>
      <w:color w:val="5A646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Instruction">
    <w:name w:val="Agent Instruction"/>
    <w:basedOn w:val="Normal"/>
    <w:rPr>
      <w:rFonts w:ascii="Aptos" w:hAnsi="Aptos"/>
      <w:b w:val="0"/>
      <w:color w:val="172A3A"/>
      <w:sz w:val="19"/>
    </w:rPr>
  </w:style>
  <w:style w:type="paragraph" w:customStyle="1" w:styleId="Callout">
    <w:name w:val="Callout"/>
    <w:basedOn w:val="Normal"/>
    <w:rPr>
      <w:rFonts w:ascii="Aptos" w:hAnsi="Aptos"/>
      <w:b/>
      <w:color w:val="007079"/>
      <w:sz w:val="20"/>
    </w:rPr>
  </w:style>
  <w:style w:type="paragraph" w:customStyle="1" w:styleId="SmallText">
    <w:name w:val="Small Text"/>
    <w:basedOn w:val="Normal"/>
    <w:rPr>
      <w:rFonts w:ascii="Aptos" w:hAnsi="Aptos"/>
      <w:b w:val="0"/>
      <w:color w:val="5A646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