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CIOS-ENG-003</w:t>
        <w:br/>
        <w:t>Commercial Intelligence Pipeline Specification</w:t>
      </w:r>
    </w:p>
    <w:p>
      <w:pPr>
        <w:jc w:val="center"/>
      </w:pPr>
      <w:r>
        <w:rPr>
          <w:sz w:val="24"/>
        </w:rPr>
        <w:t>Version 1.0.0 | Engineering Baseline | Genesis Programme</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Value</w:t>
            </w:r>
          </w:p>
        </w:tc>
      </w:tr>
      <w:tr>
        <w:tc>
          <w:tcPr>
            <w:tcW w:type="dxa" w:w="5112"/>
            <w:vAlign w:val="center"/>
          </w:tcPr>
          <w:p>
            <w:r/>
            <w:r>
              <w:rPr>
                <w:b w:val="0"/>
                <w:sz w:val="18"/>
              </w:rPr>
              <w:t>Document ID</w:t>
            </w:r>
          </w:p>
        </w:tc>
        <w:tc>
          <w:tcPr>
            <w:tcW w:type="dxa" w:w="5112"/>
            <w:vAlign w:val="center"/>
          </w:tcPr>
          <w:p>
            <w:r/>
            <w:r>
              <w:rPr>
                <w:b w:val="0"/>
                <w:sz w:val="18"/>
              </w:rPr>
              <w:t>CIOS-ENG-003</w:t>
            </w:r>
          </w:p>
        </w:tc>
      </w:tr>
      <w:tr>
        <w:tc>
          <w:tcPr>
            <w:tcW w:type="dxa" w:w="5112"/>
            <w:vAlign w:val="center"/>
          </w:tcPr>
          <w:p>
            <w:r/>
            <w:r>
              <w:rPr>
                <w:b w:val="0"/>
                <w:sz w:val="18"/>
              </w:rPr>
              <w:t>Status</w:t>
            </w:r>
          </w:p>
        </w:tc>
        <w:tc>
          <w:tcPr>
            <w:tcW w:type="dxa" w:w="5112"/>
            <w:vAlign w:val="center"/>
          </w:tcPr>
          <w:p>
            <w:r/>
            <w:r>
              <w:rPr>
                <w:b w:val="0"/>
                <w:sz w:val="18"/>
              </w:rPr>
              <w:t>Baseline Draft</w:t>
            </w:r>
          </w:p>
        </w:tc>
      </w:tr>
      <w:tr>
        <w:tc>
          <w:tcPr>
            <w:tcW w:type="dxa" w:w="5112"/>
            <w:vAlign w:val="center"/>
          </w:tcPr>
          <w:p>
            <w:r/>
            <w:r>
              <w:rPr>
                <w:b w:val="0"/>
                <w:sz w:val="18"/>
              </w:rPr>
              <w:t>Owner</w:t>
            </w:r>
          </w:p>
        </w:tc>
        <w:tc>
          <w:tcPr>
            <w:tcW w:type="dxa" w:w="5112"/>
            <w:vAlign w:val="center"/>
          </w:tcPr>
          <w:p>
            <w:r/>
            <w:r>
              <w:rPr>
                <w:b w:val="0"/>
                <w:sz w:val="18"/>
              </w:rPr>
              <w:t>CIOS Genesis Programme</w:t>
            </w:r>
          </w:p>
        </w:tc>
      </w:tr>
      <w:tr>
        <w:tc>
          <w:tcPr>
            <w:tcW w:type="dxa" w:w="5112"/>
            <w:vAlign w:val="center"/>
          </w:tcPr>
          <w:p>
            <w:r/>
            <w:r>
              <w:rPr>
                <w:b w:val="0"/>
                <w:sz w:val="18"/>
              </w:rPr>
              <w:t>Primary Audience</w:t>
            </w:r>
          </w:p>
        </w:tc>
        <w:tc>
          <w:tcPr>
            <w:tcW w:type="dxa" w:w="5112"/>
            <w:vAlign w:val="center"/>
          </w:tcPr>
          <w:p>
            <w:r/>
            <w:r>
              <w:rPr>
                <w:b w:val="0"/>
                <w:sz w:val="18"/>
              </w:rPr>
              <w:t>Codex, software engineers, architects</w:t>
            </w:r>
          </w:p>
        </w:tc>
      </w:tr>
      <w:tr>
        <w:tc>
          <w:tcPr>
            <w:tcW w:type="dxa" w:w="5112"/>
            <w:vAlign w:val="center"/>
          </w:tcPr>
          <w:p>
            <w:r/>
            <w:r>
              <w:rPr>
                <w:b w:val="0"/>
                <w:sz w:val="18"/>
              </w:rPr>
              <w:t>Repository Target</w:t>
            </w:r>
          </w:p>
        </w:tc>
        <w:tc>
          <w:tcPr>
            <w:tcW w:type="dxa" w:w="5112"/>
            <w:vAlign w:val="center"/>
          </w:tcPr>
          <w:p>
            <w:r/>
            <w:r>
              <w:rPr>
                <w:b w:val="0"/>
                <w:sz w:val="18"/>
              </w:rPr>
              <w:t>docs/Engineering/</w:t>
            </w:r>
          </w:p>
        </w:tc>
      </w:tr>
      <w:tr>
        <w:tc>
          <w:tcPr>
            <w:tcW w:type="dxa" w:w="5112"/>
            <w:vAlign w:val="center"/>
          </w:tcPr>
          <w:p>
            <w:r/>
            <w:r>
              <w:rPr>
                <w:b w:val="0"/>
                <w:sz w:val="18"/>
              </w:rPr>
              <w:t>Purpose</w:t>
            </w:r>
          </w:p>
        </w:tc>
        <w:tc>
          <w:tcPr>
            <w:tcW w:type="dxa" w:w="5112"/>
            <w:vAlign w:val="center"/>
          </w:tcPr>
          <w:p>
            <w:r/>
            <w:r>
              <w:rPr>
                <w:b w:val="0"/>
                <w:sz w:val="18"/>
              </w:rPr>
              <w:t>Define the canonical evidence-to-learning lifecycle for CIOS.</w:t>
            </w:r>
          </w:p>
        </w:tc>
      </w:tr>
    </w:tbl>
    <w:p>
      <w:r>
        <w:br w:type="page"/>
      </w:r>
    </w:p>
    <w:p>
      <w:pPr>
        <w:pStyle w:val="Heading1"/>
      </w:pPr>
      <w:r>
        <w:t>1. Executive Summary</w:t>
      </w:r>
    </w:p>
    <w:p>
      <w:r>
        <w:t>This specification defines the Commercial Intelligence Pipeline: the canonical processing lifecycle that transforms raw evidence into explainable recommendations and organisational learning. It connects the CIOS core, ontology, graph, reasoning, scoring, decision engine, memory, agents and applications into a single operating model. The pipeline is deliberately not an application workflow. It is a reusable orchestration pattern used by future applications such as Opportunity Intelligence, Capture Intelligence and Executive Intelligence.</w:t>
      </w:r>
    </w:p>
    <w:p>
      <w:pPr>
        <w:pStyle w:val="Heading1"/>
      </w:pPr>
      <w:r>
        <w:t>2. Design Intent</w:t>
      </w:r>
    </w:p>
    <w:p>
      <w:r>
        <w:t>The pipeline exists to prevent CIOS becoming a set of disconnected model packages. It defines the order in which evidence is interpreted, transformed into observations, converted into signals, tested through hypotheses, scored, assessed, decided, recommended, acted on and learned from. Every future application should either use this lifecycle directly or explicitly justify a controlled exception.</w:t>
      </w:r>
    </w:p>
    <w:p>
      <w:pPr>
        <w:pStyle w:val="Heading1"/>
      </w:pPr>
      <w:r>
        <w:t>3. Canonical Lifecycle</w:t>
      </w:r>
    </w:p>
    <w:p>
      <w:r>
        <w:t>The pipeline follows a stable lifecycle: Evidence -&gt; Observation -&gt; Signal -&gt; Hypothesis -&gt; Commercial Law -&gt; Reasoning -&gt; Score -&gt; Decision -&gt; Recommendation -&gt; Action -&gt; Outcome -&gt; Learning. Each stage has a distinct responsibility and must preserve traceability to upstream evidence.</w:t>
      </w:r>
    </w:p>
    <w:p>
      <w:pPr>
        <w:spacing w:before="80" w:after="80"/>
        <w:ind w:left="360"/>
      </w:pPr>
      <w:r>
        <w:rPr>
          <w:rFonts w:ascii="Courier New" w:hAnsi="Courier New"/>
          <w:sz w:val="18"/>
        </w:rPr>
        <w:t>Evidence -&gt; Observation -&gt; Signal -&gt; Hypothesis -&gt; Commercial Law -&gt; Reasoning -&gt; Score -&gt; Decision -&gt; Recommendation -&gt; Action -&gt; Outcome -&gt; Learning</w:t>
      </w:r>
    </w:p>
    <w:p>
      <w:pPr>
        <w:pStyle w:val="Heading1"/>
      </w:pPr>
      <w:r>
        <w:t>4. Pipeline Stage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Stage</w:t>
            </w:r>
          </w:p>
        </w:tc>
        <w:tc>
          <w:tcPr>
            <w:tcW w:type="dxa" w:w="3408"/>
            <w:vAlign w:val="center"/>
            <w:shd w:fill="D9EAF7"/>
          </w:tcPr>
          <w:p>
            <w:r/>
            <w:r>
              <w:rPr>
                <w:b/>
                <w:sz w:val="18"/>
              </w:rPr>
              <w:t>Responsibility</w:t>
            </w:r>
          </w:p>
        </w:tc>
        <w:tc>
          <w:tcPr>
            <w:tcW w:type="dxa" w:w="3408"/>
            <w:vAlign w:val="center"/>
            <w:shd w:fill="D9EAF7"/>
          </w:tcPr>
          <w:p>
            <w:r/>
            <w:r>
              <w:rPr>
                <w:b/>
                <w:sz w:val="18"/>
              </w:rPr>
              <w:t>Current/Future Owner</w:t>
            </w:r>
          </w:p>
        </w:tc>
      </w:tr>
      <w:tr>
        <w:tc>
          <w:tcPr>
            <w:tcW w:type="dxa" w:w="3408"/>
            <w:vAlign w:val="center"/>
          </w:tcPr>
          <w:p>
            <w:r/>
            <w:r>
              <w:rPr>
                <w:b w:val="0"/>
                <w:sz w:val="18"/>
              </w:rPr>
              <w:t>Evidence</w:t>
            </w:r>
          </w:p>
        </w:tc>
        <w:tc>
          <w:tcPr>
            <w:tcW w:type="dxa" w:w="3408"/>
            <w:vAlign w:val="center"/>
          </w:tcPr>
          <w:p>
            <w:r/>
            <w:r>
              <w:rPr>
                <w:b w:val="0"/>
                <w:sz w:val="18"/>
              </w:rPr>
              <w:t>Raw source material, fact, document, note or structured input.</w:t>
            </w:r>
          </w:p>
        </w:tc>
        <w:tc>
          <w:tcPr>
            <w:tcW w:type="dxa" w:w="3408"/>
            <w:vAlign w:val="center"/>
          </w:tcPr>
          <w:p>
            <w:r/>
            <w:r>
              <w:rPr>
                <w:b w:val="0"/>
                <w:sz w:val="18"/>
              </w:rPr>
              <w:t>core.Evidence</w:t>
            </w:r>
          </w:p>
        </w:tc>
      </w:tr>
      <w:tr>
        <w:tc>
          <w:tcPr>
            <w:tcW w:type="dxa" w:w="3408"/>
            <w:vAlign w:val="center"/>
          </w:tcPr>
          <w:p>
            <w:r/>
            <w:r>
              <w:rPr>
                <w:b w:val="0"/>
                <w:sz w:val="18"/>
              </w:rPr>
              <w:t>Observation</w:t>
            </w:r>
          </w:p>
        </w:tc>
        <w:tc>
          <w:tcPr>
            <w:tcW w:type="dxa" w:w="3408"/>
            <w:vAlign w:val="center"/>
          </w:tcPr>
          <w:p>
            <w:r/>
            <w:r>
              <w:rPr>
                <w:b w:val="0"/>
                <w:sz w:val="18"/>
              </w:rPr>
              <w:t>Detected fact or condition extracted from evidence.</w:t>
            </w:r>
          </w:p>
        </w:tc>
        <w:tc>
          <w:tcPr>
            <w:tcW w:type="dxa" w:w="3408"/>
            <w:vAlign w:val="center"/>
          </w:tcPr>
          <w:p>
            <w:r/>
            <w:r>
              <w:rPr>
                <w:b w:val="0"/>
                <w:sz w:val="18"/>
              </w:rPr>
              <w:t>core.Observation</w:t>
            </w:r>
          </w:p>
        </w:tc>
      </w:tr>
      <w:tr>
        <w:tc>
          <w:tcPr>
            <w:tcW w:type="dxa" w:w="3408"/>
            <w:vAlign w:val="center"/>
          </w:tcPr>
          <w:p>
            <w:r/>
            <w:r>
              <w:rPr>
                <w:b w:val="0"/>
                <w:sz w:val="18"/>
              </w:rPr>
              <w:t>Signal</w:t>
            </w:r>
          </w:p>
        </w:tc>
        <w:tc>
          <w:tcPr>
            <w:tcW w:type="dxa" w:w="3408"/>
            <w:vAlign w:val="center"/>
          </w:tcPr>
          <w:p>
            <w:r/>
            <w:r>
              <w:rPr>
                <w:b w:val="0"/>
                <w:sz w:val="18"/>
              </w:rPr>
              <w:t>Interpreted commercial indicator that may change judgement.</w:t>
            </w:r>
          </w:p>
        </w:tc>
        <w:tc>
          <w:tcPr>
            <w:tcW w:type="dxa" w:w="3408"/>
            <w:vAlign w:val="center"/>
          </w:tcPr>
          <w:p>
            <w:r/>
            <w:r>
              <w:rPr>
                <w:b w:val="0"/>
                <w:sz w:val="18"/>
              </w:rPr>
              <w:t>reasoning.Signal</w:t>
            </w:r>
          </w:p>
        </w:tc>
      </w:tr>
      <w:tr>
        <w:tc>
          <w:tcPr>
            <w:tcW w:type="dxa" w:w="3408"/>
            <w:vAlign w:val="center"/>
          </w:tcPr>
          <w:p>
            <w:r/>
            <w:r>
              <w:rPr>
                <w:b w:val="0"/>
                <w:sz w:val="18"/>
              </w:rPr>
              <w:t>Hypothesis</w:t>
            </w:r>
          </w:p>
        </w:tc>
        <w:tc>
          <w:tcPr>
            <w:tcW w:type="dxa" w:w="3408"/>
            <w:vAlign w:val="center"/>
          </w:tcPr>
          <w:p>
            <w:r/>
            <w:r>
              <w:rPr>
                <w:b w:val="0"/>
                <w:sz w:val="18"/>
              </w:rPr>
              <w:t>Possible explanation or commercial interpretation.</w:t>
            </w:r>
          </w:p>
        </w:tc>
        <w:tc>
          <w:tcPr>
            <w:tcW w:type="dxa" w:w="3408"/>
            <w:vAlign w:val="center"/>
          </w:tcPr>
          <w:p>
            <w:r/>
            <w:r>
              <w:rPr>
                <w:b w:val="0"/>
                <w:sz w:val="18"/>
              </w:rPr>
              <w:t>reasoning.Hypothesis</w:t>
            </w:r>
          </w:p>
        </w:tc>
      </w:tr>
      <w:tr>
        <w:tc>
          <w:tcPr>
            <w:tcW w:type="dxa" w:w="3408"/>
            <w:vAlign w:val="center"/>
          </w:tcPr>
          <w:p>
            <w:r/>
            <w:r>
              <w:rPr>
                <w:b w:val="0"/>
                <w:sz w:val="18"/>
              </w:rPr>
              <w:t>Commercial Law</w:t>
            </w:r>
          </w:p>
        </w:tc>
        <w:tc>
          <w:tcPr>
            <w:tcW w:type="dxa" w:w="3408"/>
            <w:vAlign w:val="center"/>
          </w:tcPr>
          <w:p>
            <w:r/>
            <w:r>
              <w:rPr>
                <w:b w:val="0"/>
                <w:sz w:val="18"/>
              </w:rPr>
              <w:t>A Commercial Physics principle used to evaluate the hypothesis.</w:t>
            </w:r>
          </w:p>
        </w:tc>
        <w:tc>
          <w:tcPr>
            <w:tcW w:type="dxa" w:w="3408"/>
            <w:vAlign w:val="center"/>
          </w:tcPr>
          <w:p>
            <w:r/>
            <w:r>
              <w:rPr>
                <w:b w:val="0"/>
                <w:sz w:val="18"/>
              </w:rPr>
              <w:t>Constitution / future physics module</w:t>
            </w:r>
          </w:p>
        </w:tc>
      </w:tr>
      <w:tr>
        <w:tc>
          <w:tcPr>
            <w:tcW w:type="dxa" w:w="3408"/>
            <w:vAlign w:val="center"/>
          </w:tcPr>
          <w:p>
            <w:r/>
            <w:r>
              <w:rPr>
                <w:b w:val="0"/>
                <w:sz w:val="18"/>
              </w:rPr>
              <w:t>Reasoning</w:t>
            </w:r>
          </w:p>
        </w:tc>
        <w:tc>
          <w:tcPr>
            <w:tcW w:type="dxa" w:w="3408"/>
            <w:vAlign w:val="center"/>
          </w:tcPr>
          <w:p>
            <w:r/>
            <w:r>
              <w:rPr>
                <w:b w:val="0"/>
                <w:sz w:val="18"/>
              </w:rPr>
              <w:t>Traceable inference chain linking evidence to conclusion.</w:t>
            </w:r>
          </w:p>
        </w:tc>
        <w:tc>
          <w:tcPr>
            <w:tcW w:type="dxa" w:w="3408"/>
            <w:vAlign w:val="center"/>
          </w:tcPr>
          <w:p>
            <w:r/>
            <w:r>
              <w:rPr>
                <w:b w:val="0"/>
                <w:sz w:val="18"/>
              </w:rPr>
              <w:t>reasoning.ReasoningTrace</w:t>
            </w:r>
          </w:p>
        </w:tc>
      </w:tr>
      <w:tr>
        <w:tc>
          <w:tcPr>
            <w:tcW w:type="dxa" w:w="3408"/>
            <w:vAlign w:val="center"/>
          </w:tcPr>
          <w:p>
            <w:r/>
            <w:r>
              <w:rPr>
                <w:b w:val="0"/>
                <w:sz w:val="18"/>
              </w:rPr>
              <w:t>Score</w:t>
            </w:r>
          </w:p>
        </w:tc>
        <w:tc>
          <w:tcPr>
            <w:tcW w:type="dxa" w:w="3408"/>
            <w:vAlign w:val="center"/>
          </w:tcPr>
          <w:p>
            <w:r/>
            <w:r>
              <w:rPr>
                <w:b w:val="0"/>
                <w:sz w:val="18"/>
              </w:rPr>
              <w:t>Quantified assessment of pressure, risk, maturity or confidence.</w:t>
            </w:r>
          </w:p>
        </w:tc>
        <w:tc>
          <w:tcPr>
            <w:tcW w:type="dxa" w:w="3408"/>
            <w:vAlign w:val="center"/>
          </w:tcPr>
          <w:p>
            <w:r/>
            <w:r>
              <w:rPr>
                <w:b w:val="0"/>
                <w:sz w:val="18"/>
              </w:rPr>
              <w:t>scoring.ScoringResult</w:t>
            </w:r>
          </w:p>
        </w:tc>
      </w:tr>
      <w:tr>
        <w:tc>
          <w:tcPr>
            <w:tcW w:type="dxa" w:w="3408"/>
            <w:vAlign w:val="center"/>
          </w:tcPr>
          <w:p>
            <w:r/>
            <w:r>
              <w:rPr>
                <w:b w:val="0"/>
                <w:sz w:val="18"/>
              </w:rPr>
              <w:t>Decision</w:t>
            </w:r>
          </w:p>
        </w:tc>
        <w:tc>
          <w:tcPr>
            <w:tcW w:type="dxa" w:w="3408"/>
            <w:vAlign w:val="center"/>
          </w:tcPr>
          <w:p>
            <w:r/>
            <w:r>
              <w:rPr>
                <w:b w:val="0"/>
                <w:sz w:val="18"/>
              </w:rPr>
              <w:t>Structured assessment of options against criteria.</w:t>
            </w:r>
          </w:p>
        </w:tc>
        <w:tc>
          <w:tcPr>
            <w:tcW w:type="dxa" w:w="3408"/>
            <w:vAlign w:val="center"/>
          </w:tcPr>
          <w:p>
            <w:r/>
            <w:r>
              <w:rPr>
                <w:b w:val="0"/>
                <w:sz w:val="18"/>
              </w:rPr>
              <w:t>decision_engine.DecisionOutput</w:t>
            </w:r>
          </w:p>
        </w:tc>
      </w:tr>
      <w:tr>
        <w:tc>
          <w:tcPr>
            <w:tcW w:type="dxa" w:w="3408"/>
            <w:vAlign w:val="center"/>
          </w:tcPr>
          <w:p>
            <w:r/>
            <w:r>
              <w:rPr>
                <w:b w:val="0"/>
                <w:sz w:val="18"/>
              </w:rPr>
              <w:t>Recommendation</w:t>
            </w:r>
          </w:p>
        </w:tc>
        <w:tc>
          <w:tcPr>
            <w:tcW w:type="dxa" w:w="3408"/>
            <w:vAlign w:val="center"/>
          </w:tcPr>
          <w:p>
            <w:r/>
            <w:r>
              <w:rPr>
                <w:b w:val="0"/>
                <w:sz w:val="18"/>
              </w:rPr>
              <w:t>Actionable guidance produced for a human decision maker.</w:t>
            </w:r>
          </w:p>
        </w:tc>
        <w:tc>
          <w:tcPr>
            <w:tcW w:type="dxa" w:w="3408"/>
            <w:vAlign w:val="center"/>
          </w:tcPr>
          <w:p>
            <w:r/>
            <w:r>
              <w:rPr>
                <w:b w:val="0"/>
                <w:sz w:val="18"/>
              </w:rPr>
              <w:t>core.Recommendation</w:t>
            </w:r>
          </w:p>
        </w:tc>
      </w:tr>
      <w:tr>
        <w:tc>
          <w:tcPr>
            <w:tcW w:type="dxa" w:w="3408"/>
            <w:vAlign w:val="center"/>
          </w:tcPr>
          <w:p>
            <w:r/>
            <w:r>
              <w:rPr>
                <w:b w:val="0"/>
                <w:sz w:val="18"/>
              </w:rPr>
              <w:t>Action</w:t>
            </w:r>
          </w:p>
        </w:tc>
        <w:tc>
          <w:tcPr>
            <w:tcW w:type="dxa" w:w="3408"/>
            <w:vAlign w:val="center"/>
          </w:tcPr>
          <w:p>
            <w:r/>
            <w:r>
              <w:rPr>
                <w:b w:val="0"/>
                <w:sz w:val="18"/>
              </w:rPr>
              <w:t>Human or system action taken as a result.</w:t>
            </w:r>
          </w:p>
        </w:tc>
        <w:tc>
          <w:tcPr>
            <w:tcW w:type="dxa" w:w="3408"/>
            <w:vAlign w:val="center"/>
          </w:tcPr>
          <w:p>
            <w:r/>
            <w:r>
              <w:rPr>
                <w:b w:val="0"/>
                <w:sz w:val="18"/>
              </w:rPr>
              <w:t>applications / future workflows</w:t>
            </w:r>
          </w:p>
        </w:tc>
      </w:tr>
      <w:tr>
        <w:tc>
          <w:tcPr>
            <w:tcW w:type="dxa" w:w="3408"/>
            <w:vAlign w:val="center"/>
          </w:tcPr>
          <w:p>
            <w:r/>
            <w:r>
              <w:rPr>
                <w:b w:val="0"/>
                <w:sz w:val="18"/>
              </w:rPr>
              <w:t>Outcome</w:t>
            </w:r>
          </w:p>
        </w:tc>
        <w:tc>
          <w:tcPr>
            <w:tcW w:type="dxa" w:w="3408"/>
            <w:vAlign w:val="center"/>
          </w:tcPr>
          <w:p>
            <w:r/>
            <w:r>
              <w:rPr>
                <w:b w:val="0"/>
                <w:sz w:val="18"/>
              </w:rPr>
              <w:t>Observed result after the action.</w:t>
            </w:r>
          </w:p>
        </w:tc>
        <w:tc>
          <w:tcPr>
            <w:tcW w:type="dxa" w:w="3408"/>
            <w:vAlign w:val="center"/>
          </w:tcPr>
          <w:p>
            <w:r/>
            <w:r>
              <w:rPr>
                <w:b w:val="0"/>
                <w:sz w:val="18"/>
              </w:rPr>
              <w:t>memory future record</w:t>
            </w:r>
          </w:p>
        </w:tc>
      </w:tr>
      <w:tr>
        <w:tc>
          <w:tcPr>
            <w:tcW w:type="dxa" w:w="3408"/>
            <w:vAlign w:val="center"/>
          </w:tcPr>
          <w:p>
            <w:r/>
            <w:r>
              <w:rPr>
                <w:b w:val="0"/>
                <w:sz w:val="18"/>
              </w:rPr>
              <w:t>Learning</w:t>
            </w:r>
          </w:p>
        </w:tc>
        <w:tc>
          <w:tcPr>
            <w:tcW w:type="dxa" w:w="3408"/>
            <w:vAlign w:val="center"/>
          </w:tcPr>
          <w:p>
            <w:r/>
            <w:r>
              <w:rPr>
                <w:b w:val="0"/>
                <w:sz w:val="18"/>
              </w:rPr>
              <w:t>Reusable improvement captured for future decisions.</w:t>
            </w:r>
          </w:p>
        </w:tc>
        <w:tc>
          <w:tcPr>
            <w:tcW w:type="dxa" w:w="3408"/>
            <w:vAlign w:val="center"/>
          </w:tcPr>
          <w:p>
            <w:r/>
            <w:r>
              <w:rPr>
                <w:b w:val="0"/>
                <w:sz w:val="18"/>
              </w:rPr>
              <w:t>memory / learning future module</w:t>
            </w:r>
          </w:p>
        </w:tc>
      </w:tr>
    </w:tbl>
    <w:p>
      <w:pPr>
        <w:pStyle w:val="Heading1"/>
      </w:pPr>
      <w:r>
        <w:t>5. Module Interaction Model</w:t>
      </w:r>
    </w:p>
    <w:p>
      <w:r>
        <w:t>The pipeline composes existing SDK packages without violating the approved dependency DAG. Lower-level packages remain model-oriented. Pipeline orchestration belongs in a future cios.pipeline package or in application composition code until the pipeline is formalised in code.</w:t>
      </w:r>
    </w:p>
    <w:p>
      <w:pPr>
        <w:spacing w:before="80" w:after="80"/>
        <w:ind w:left="360"/>
      </w:pPr>
      <w:r>
        <w:rPr>
          <w:rFonts w:ascii="Courier New" w:hAnsi="Courier New"/>
          <w:sz w:val="18"/>
        </w:rPr>
        <w:t>core + ontology + graph</w:t>
        <w:br/>
        <w:t xml:space="preserve">        ↓</w:t>
        <w:br/>
        <w:t>reasoning</w:t>
        <w:br/>
        <w:t xml:space="preserve">        ↓</w:t>
        <w:br/>
        <w:t>scoring</w:t>
        <w:br/>
        <w:t xml:space="preserve">        ↓</w:t>
        <w:br/>
        <w:t>decision_engine</w:t>
        <w:br/>
        <w:t xml:space="preserve">        ↓</w:t>
        <w:br/>
        <w:t>applications</w:t>
        <w:br/>
        <w:t xml:space="preserve">        ↓</w:t>
        <w:br/>
        <w:t>memory / learning feedback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Module</w:t>
            </w:r>
          </w:p>
        </w:tc>
        <w:tc>
          <w:tcPr>
            <w:tcW w:type="dxa" w:w="3408"/>
            <w:vAlign w:val="center"/>
            <w:shd w:fill="D9EAF7"/>
          </w:tcPr>
          <w:p>
            <w:r/>
            <w:r>
              <w:rPr>
                <w:b/>
                <w:sz w:val="18"/>
              </w:rPr>
              <w:t>Pipeline Role</w:t>
            </w:r>
          </w:p>
        </w:tc>
        <w:tc>
          <w:tcPr>
            <w:tcW w:type="dxa" w:w="3408"/>
            <w:vAlign w:val="center"/>
            <w:shd w:fill="D9EAF7"/>
          </w:tcPr>
          <w:p>
            <w:r/>
            <w:r>
              <w:rPr>
                <w:b/>
                <w:sz w:val="18"/>
              </w:rPr>
              <w:t>Dependency Rule</w:t>
            </w:r>
          </w:p>
        </w:tc>
      </w:tr>
      <w:tr>
        <w:tc>
          <w:tcPr>
            <w:tcW w:type="dxa" w:w="3408"/>
            <w:vAlign w:val="center"/>
          </w:tcPr>
          <w:p>
            <w:r/>
            <w:r>
              <w:rPr>
                <w:b w:val="0"/>
                <w:sz w:val="18"/>
              </w:rPr>
              <w:t>core</w:t>
            </w:r>
          </w:p>
        </w:tc>
        <w:tc>
          <w:tcPr>
            <w:tcW w:type="dxa" w:w="3408"/>
            <w:vAlign w:val="center"/>
          </w:tcPr>
          <w:p>
            <w:r/>
            <w:r>
              <w:rPr>
                <w:b w:val="0"/>
                <w:sz w:val="18"/>
              </w:rPr>
              <w:t>Foundational identifiers, evidence, observations, decisions and recommendations.</w:t>
            </w:r>
          </w:p>
        </w:tc>
        <w:tc>
          <w:tcPr>
            <w:tcW w:type="dxa" w:w="3408"/>
            <w:vAlign w:val="center"/>
          </w:tcPr>
          <w:p>
            <w:r/>
            <w:r>
              <w:rPr>
                <w:b w:val="0"/>
                <w:sz w:val="18"/>
              </w:rPr>
              <w:t>May not import non-core CIOS modules.</w:t>
            </w:r>
          </w:p>
        </w:tc>
      </w:tr>
      <w:tr>
        <w:tc>
          <w:tcPr>
            <w:tcW w:type="dxa" w:w="3408"/>
            <w:vAlign w:val="center"/>
          </w:tcPr>
          <w:p>
            <w:r/>
            <w:r>
              <w:rPr>
                <w:b w:val="0"/>
                <w:sz w:val="18"/>
              </w:rPr>
              <w:t>ontology</w:t>
            </w:r>
          </w:p>
        </w:tc>
        <w:tc>
          <w:tcPr>
            <w:tcW w:type="dxa" w:w="3408"/>
            <w:vAlign w:val="center"/>
          </w:tcPr>
          <w:p>
            <w:r/>
            <w:r>
              <w:rPr>
                <w:b w:val="0"/>
                <w:sz w:val="18"/>
              </w:rPr>
              <w:t>Commercial domain concepts such as opportunity, customer, capability and contract.</w:t>
            </w:r>
          </w:p>
        </w:tc>
        <w:tc>
          <w:tcPr>
            <w:tcW w:type="dxa" w:w="3408"/>
            <w:vAlign w:val="center"/>
          </w:tcPr>
          <w:p>
            <w:r/>
            <w:r>
              <w:rPr>
                <w:b w:val="0"/>
                <w:sz w:val="18"/>
              </w:rPr>
              <w:t>May depend only on core.</w:t>
            </w:r>
          </w:p>
        </w:tc>
      </w:tr>
      <w:tr>
        <w:tc>
          <w:tcPr>
            <w:tcW w:type="dxa" w:w="3408"/>
            <w:vAlign w:val="center"/>
          </w:tcPr>
          <w:p>
            <w:r/>
            <w:r>
              <w:rPr>
                <w:b w:val="0"/>
                <w:sz w:val="18"/>
              </w:rPr>
              <w:t>graph</w:t>
            </w:r>
          </w:p>
        </w:tc>
        <w:tc>
          <w:tcPr>
            <w:tcW w:type="dxa" w:w="3408"/>
            <w:vAlign w:val="center"/>
          </w:tcPr>
          <w:p>
            <w:r/>
            <w:r>
              <w:rPr>
                <w:b w:val="0"/>
                <w:sz w:val="18"/>
              </w:rPr>
              <w:t>Relationship and evidence-link structures between concepts.</w:t>
            </w:r>
          </w:p>
        </w:tc>
        <w:tc>
          <w:tcPr>
            <w:tcW w:type="dxa" w:w="3408"/>
            <w:vAlign w:val="center"/>
          </w:tcPr>
          <w:p>
            <w:r/>
            <w:r>
              <w:rPr>
                <w:b w:val="0"/>
                <w:sz w:val="18"/>
              </w:rPr>
              <w:t>May depend on core and ontology.</w:t>
            </w:r>
          </w:p>
        </w:tc>
      </w:tr>
      <w:tr>
        <w:tc>
          <w:tcPr>
            <w:tcW w:type="dxa" w:w="3408"/>
            <w:vAlign w:val="center"/>
          </w:tcPr>
          <w:p>
            <w:r/>
            <w:r>
              <w:rPr>
                <w:b w:val="0"/>
                <w:sz w:val="18"/>
              </w:rPr>
              <w:t>reasoning</w:t>
            </w:r>
          </w:p>
        </w:tc>
        <w:tc>
          <w:tcPr>
            <w:tcW w:type="dxa" w:w="3408"/>
            <w:vAlign w:val="center"/>
          </w:tcPr>
          <w:p>
            <w:r/>
            <w:r>
              <w:rPr>
                <w:b w:val="0"/>
                <w:sz w:val="18"/>
              </w:rPr>
              <w:t>Signals, hypotheses, inference traces and explanations.</w:t>
            </w:r>
          </w:p>
        </w:tc>
        <w:tc>
          <w:tcPr>
            <w:tcW w:type="dxa" w:w="3408"/>
            <w:vAlign w:val="center"/>
          </w:tcPr>
          <w:p>
            <w:r/>
            <w:r>
              <w:rPr>
                <w:b w:val="0"/>
                <w:sz w:val="18"/>
              </w:rPr>
              <w:t>May depend on core only at foundation stage.</w:t>
            </w:r>
          </w:p>
        </w:tc>
      </w:tr>
      <w:tr>
        <w:tc>
          <w:tcPr>
            <w:tcW w:type="dxa" w:w="3408"/>
            <w:vAlign w:val="center"/>
          </w:tcPr>
          <w:p>
            <w:r/>
            <w:r>
              <w:rPr>
                <w:b w:val="0"/>
                <w:sz w:val="18"/>
              </w:rPr>
              <w:t>scoring</w:t>
            </w:r>
          </w:p>
        </w:tc>
        <w:tc>
          <w:tcPr>
            <w:tcW w:type="dxa" w:w="3408"/>
            <w:vAlign w:val="center"/>
          </w:tcPr>
          <w:p>
            <w:r/>
            <w:r>
              <w:rPr>
                <w:b w:val="0"/>
                <w:sz w:val="18"/>
              </w:rPr>
              <w:t>Score types, components, bands and scoring results.</w:t>
            </w:r>
          </w:p>
        </w:tc>
        <w:tc>
          <w:tcPr>
            <w:tcW w:type="dxa" w:w="3408"/>
            <w:vAlign w:val="center"/>
          </w:tcPr>
          <w:p>
            <w:r/>
            <w:r>
              <w:rPr>
                <w:b w:val="0"/>
                <w:sz w:val="18"/>
              </w:rPr>
              <w:t>May depend on core and reasoning.</w:t>
            </w:r>
          </w:p>
        </w:tc>
      </w:tr>
      <w:tr>
        <w:tc>
          <w:tcPr>
            <w:tcW w:type="dxa" w:w="3408"/>
            <w:vAlign w:val="center"/>
          </w:tcPr>
          <w:p>
            <w:r/>
            <w:r>
              <w:rPr>
                <w:b w:val="0"/>
                <w:sz w:val="18"/>
              </w:rPr>
              <w:t>decision_engine</w:t>
            </w:r>
          </w:p>
        </w:tc>
        <w:tc>
          <w:tcPr>
            <w:tcW w:type="dxa" w:w="3408"/>
            <w:vAlign w:val="center"/>
          </w:tcPr>
          <w:p>
            <w:r/>
            <w:r>
              <w:rPr>
                <w:b w:val="0"/>
                <w:sz w:val="18"/>
              </w:rPr>
              <w:t>Composes graph, reasoning and scoring into decision outputs.</w:t>
            </w:r>
          </w:p>
        </w:tc>
        <w:tc>
          <w:tcPr>
            <w:tcW w:type="dxa" w:w="3408"/>
            <w:vAlign w:val="center"/>
          </w:tcPr>
          <w:p>
            <w:r/>
            <w:r>
              <w:rPr>
                <w:b w:val="0"/>
                <w:sz w:val="18"/>
              </w:rPr>
              <w:t>May depend on core, graph, reasoning and scoring.</w:t>
            </w:r>
          </w:p>
        </w:tc>
      </w:tr>
      <w:tr>
        <w:tc>
          <w:tcPr>
            <w:tcW w:type="dxa" w:w="3408"/>
            <w:vAlign w:val="center"/>
          </w:tcPr>
          <w:p>
            <w:r/>
            <w:r>
              <w:rPr>
                <w:b w:val="0"/>
                <w:sz w:val="18"/>
              </w:rPr>
              <w:t>memory</w:t>
            </w:r>
          </w:p>
        </w:tc>
        <w:tc>
          <w:tcPr>
            <w:tcW w:type="dxa" w:w="3408"/>
            <w:vAlign w:val="center"/>
          </w:tcPr>
          <w:p>
            <w:r/>
            <w:r>
              <w:rPr>
                <w:b w:val="0"/>
                <w:sz w:val="18"/>
              </w:rPr>
              <w:t>Passive persistence of records and outcomes.</w:t>
            </w:r>
          </w:p>
        </w:tc>
        <w:tc>
          <w:tcPr>
            <w:tcW w:type="dxa" w:w="3408"/>
            <w:vAlign w:val="center"/>
          </w:tcPr>
          <w:p>
            <w:r/>
            <w:r>
              <w:rPr>
                <w:b w:val="0"/>
                <w:sz w:val="18"/>
              </w:rPr>
              <w:t>Should avoid orchestrating decisions.</w:t>
            </w:r>
          </w:p>
        </w:tc>
      </w:tr>
      <w:tr>
        <w:tc>
          <w:tcPr>
            <w:tcW w:type="dxa" w:w="3408"/>
            <w:vAlign w:val="center"/>
          </w:tcPr>
          <w:p>
            <w:r/>
            <w:r>
              <w:rPr>
                <w:b w:val="0"/>
                <w:sz w:val="18"/>
              </w:rPr>
              <w:t>agents</w:t>
            </w:r>
          </w:p>
        </w:tc>
        <w:tc>
          <w:tcPr>
            <w:tcW w:type="dxa" w:w="3408"/>
            <w:vAlign w:val="center"/>
          </w:tcPr>
          <w:p>
            <w:r/>
            <w:r>
              <w:rPr>
                <w:b w:val="0"/>
                <w:sz w:val="18"/>
              </w:rPr>
              <w:t>Specialist behaviours and wrappers, not business workflows.</w:t>
            </w:r>
          </w:p>
        </w:tc>
        <w:tc>
          <w:tcPr>
            <w:tcW w:type="dxa" w:w="3408"/>
            <w:vAlign w:val="center"/>
          </w:tcPr>
          <w:p>
            <w:r/>
            <w:r>
              <w:rPr>
                <w:b w:val="0"/>
                <w:sz w:val="18"/>
              </w:rPr>
              <w:t>Should call decision engine, not bypass it.</w:t>
            </w:r>
          </w:p>
        </w:tc>
      </w:tr>
      <w:tr>
        <w:tc>
          <w:tcPr>
            <w:tcW w:type="dxa" w:w="3408"/>
            <w:vAlign w:val="center"/>
          </w:tcPr>
          <w:p>
            <w:r/>
            <w:r>
              <w:rPr>
                <w:b w:val="0"/>
                <w:sz w:val="18"/>
              </w:rPr>
              <w:t>applications</w:t>
            </w:r>
          </w:p>
        </w:tc>
        <w:tc>
          <w:tcPr>
            <w:tcW w:type="dxa" w:w="3408"/>
            <w:vAlign w:val="center"/>
          </w:tcPr>
          <w:p>
            <w:r/>
            <w:r>
              <w:rPr>
                <w:b w:val="0"/>
                <w:sz w:val="18"/>
              </w:rPr>
              <w:t>End-to-end user-facing workflows.</w:t>
            </w:r>
          </w:p>
        </w:tc>
        <w:tc>
          <w:tcPr>
            <w:tcW w:type="dxa" w:w="3408"/>
            <w:vAlign w:val="center"/>
          </w:tcPr>
          <w:p>
            <w:r/>
            <w:r>
              <w:rPr>
                <w:b w:val="0"/>
                <w:sz w:val="18"/>
              </w:rPr>
              <w:t>May compose all platform modules.</w:t>
            </w:r>
          </w:p>
        </w:tc>
      </w:tr>
    </w:tbl>
    <w:p>
      <w:pPr>
        <w:pStyle w:val="Heading1"/>
      </w:pPr>
      <w:r>
        <w:t>6. Traceability Rules</w:t>
      </w:r>
    </w:p>
    <w:p>
      <w:pPr>
        <w:pStyle w:val="ListBullet"/>
      </w:pPr>
      <w:r>
        <w:t>Every recommendation must link to at least one decision or rationale.</w:t>
      </w:r>
    </w:p>
    <w:p>
      <w:pPr>
        <w:pStyle w:val="ListBullet"/>
      </w:pPr>
      <w:r>
        <w:t>Every decision must link to scores, reasoning or evidence.</w:t>
      </w:r>
    </w:p>
    <w:p>
      <w:pPr>
        <w:pStyle w:val="ListBullet"/>
      </w:pPr>
      <w:r>
        <w:t>Every score should identify components and optional reasoning trace.</w:t>
      </w:r>
    </w:p>
    <w:p>
      <w:pPr>
        <w:pStyle w:val="ListBullet"/>
      </w:pPr>
      <w:r>
        <w:t>Every reasoning trace should contain explicit steps and confidence where available.</w:t>
      </w:r>
    </w:p>
    <w:p>
      <w:pPr>
        <w:pStyle w:val="ListBullet"/>
      </w:pPr>
      <w:r>
        <w:t>Pipeline stages must preserve upstream identifiers rather than copying opaque narrative only.</w:t>
      </w:r>
    </w:p>
    <w:p>
      <w:pPr>
        <w:pStyle w:val="Heading1"/>
      </w:pPr>
      <w:r>
        <w:t>7. Orchestration Boundaries</w:t>
      </w:r>
    </w:p>
    <w:p>
      <w:pPr>
        <w:pStyle w:val="ListBullet"/>
      </w:pPr>
      <w:r>
        <w:t>The pipeline coordinates modules but should not hide module ownership.</w:t>
      </w:r>
    </w:p>
    <w:p>
      <w:pPr>
        <w:pStyle w:val="ListBullet"/>
      </w:pPr>
      <w:r>
        <w:t>Memory remains passive; it stores pipeline artefacts but does not decide.</w:t>
      </w:r>
    </w:p>
    <w:p>
      <w:pPr>
        <w:pStyle w:val="ListBullet"/>
      </w:pPr>
      <w:r>
        <w:t>Agents may assist each stage but must not bypass the decision engine for formal recommendations.</w:t>
      </w:r>
    </w:p>
    <w:p>
      <w:pPr>
        <w:pStyle w:val="ListBullet"/>
      </w:pPr>
      <w:r>
        <w:t>Applications own end-to-end user workflows.</w:t>
      </w:r>
    </w:p>
    <w:p>
      <w:pPr>
        <w:pStyle w:val="ListBullet"/>
      </w:pPr>
      <w:r>
        <w:t>Commercial laws are defined in the Constitution before being implemented as code.</w:t>
      </w:r>
    </w:p>
    <w:p>
      <w:pPr>
        <w:pStyle w:val="Heading1"/>
      </w:pPr>
      <w:r>
        <w:t>8. State Model</w:t>
      </w:r>
    </w:p>
    <w:p>
      <w:pPr>
        <w:pStyle w:val="ListBullet"/>
      </w:pPr>
      <w:r>
        <w:t>Draft: input has been captured but not interpreted.</w:t>
      </w:r>
    </w:p>
    <w:p>
      <w:pPr>
        <w:pStyle w:val="ListBullet"/>
      </w:pPr>
      <w:r>
        <w:t>Observed: evidence has produced observations.</w:t>
      </w:r>
    </w:p>
    <w:p>
      <w:pPr>
        <w:pStyle w:val="ListBullet"/>
      </w:pPr>
      <w:r>
        <w:t>Interpreted: signals and hypotheses exist.</w:t>
      </w:r>
    </w:p>
    <w:p>
      <w:pPr>
        <w:pStyle w:val="ListBullet"/>
      </w:pPr>
      <w:r>
        <w:t>Assessed: reasoning and scoring have been produced.</w:t>
      </w:r>
    </w:p>
    <w:p>
      <w:pPr>
        <w:pStyle w:val="ListBullet"/>
      </w:pPr>
      <w:r>
        <w:t>Decided: options and rationale have been created.</w:t>
      </w:r>
    </w:p>
    <w:p>
      <w:pPr>
        <w:pStyle w:val="ListBullet"/>
      </w:pPr>
      <w:r>
        <w:t>Recommended: human-readable guidance exists.</w:t>
      </w:r>
    </w:p>
    <w:p>
      <w:pPr>
        <w:pStyle w:val="ListBullet"/>
      </w:pPr>
      <w:r>
        <w:t>Actioned: an action has been taken.</w:t>
      </w:r>
    </w:p>
    <w:p>
      <w:pPr>
        <w:pStyle w:val="ListBullet"/>
      </w:pPr>
      <w:r>
        <w:t>Learned: outcome feedback has been persisted.</w:t>
      </w:r>
    </w:p>
    <w:p>
      <w:pPr>
        <w:pStyle w:val="Heading1"/>
      </w:pPr>
      <w:r>
        <w:t>9. Sprint Implications</w:t>
      </w:r>
    </w:p>
    <w:p>
      <w:pPr>
        <w:pStyle w:val="ListBullet"/>
      </w:pPr>
      <w:r>
        <w:t>Sprint 7A should harden architecture before memory.</w:t>
      </w:r>
    </w:p>
    <w:p>
      <w:pPr>
        <w:pStyle w:val="ListBullet"/>
      </w:pPr>
      <w:r>
        <w:t>Sprint 7B should implement passive memory records.</w:t>
      </w:r>
    </w:p>
    <w:p>
      <w:pPr>
        <w:pStyle w:val="ListBullet"/>
      </w:pPr>
      <w:r>
        <w:t>Sprint 8 should define storage adapter interfaces.</w:t>
      </w:r>
    </w:p>
    <w:p>
      <w:pPr>
        <w:pStyle w:val="ListBullet"/>
      </w:pPr>
      <w:r>
        <w:t>Sprint 9 should implement a pipeline package or application composition boundary.</w:t>
      </w:r>
    </w:p>
    <w:p>
      <w:pPr>
        <w:pStyle w:val="ListBullet"/>
      </w:pPr>
      <w:r>
        <w:t>Sprint 10 should implement the first Opportunity Intelligence flow.</w:t>
      </w:r>
    </w:p>
    <w:p>
      <w:pPr>
        <w:pStyle w:val="Heading1"/>
      </w:pPr>
      <w:r>
        <w:t>10. Acceptance Criteria</w:t>
      </w:r>
    </w:p>
    <w:p>
      <w:pPr>
        <w:pStyle w:val="ListBullet"/>
      </w:pPr>
      <w:r>
        <w:t>The pipeline is documented as the canonical reasoning lifecycle.</w:t>
      </w:r>
    </w:p>
    <w:p>
      <w:pPr>
        <w:pStyle w:val="ListBullet"/>
      </w:pPr>
      <w:r>
        <w:t>Dependency rules remain compatible with ENG-002.</w:t>
      </w:r>
    </w:p>
    <w:p>
      <w:pPr>
        <w:pStyle w:val="ListBullet"/>
      </w:pPr>
      <w:r>
        <w:t>Memory is treated as passive persistence, not orchestration.</w:t>
      </w:r>
    </w:p>
    <w:p>
      <w:pPr>
        <w:pStyle w:val="ListBullet"/>
      </w:pPr>
      <w:r>
        <w:t>Future agents must use the pipeline rather than bypassing reasoning/scoring/decision layers.</w:t>
      </w:r>
    </w:p>
    <w:p>
      <w:pPr>
        <w:pStyle w:val="ListBullet"/>
      </w:pPr>
      <w:r>
        <w:t>The first MVP application can be built by composing pipeline stages.</w:t>
      </w:r>
    </w:p>
    <w:p>
      <w:pPr>
        <w:pStyle w:val="Heading1"/>
      </w:pPr>
      <w:r>
        <w:t>11. Future Codex Implementation Guardrail</w:t>
      </w:r>
    </w:p>
    <w:p>
      <w:pPr>
        <w:spacing w:before="80" w:after="80"/>
        <w:ind w:left="360"/>
      </w:pPr>
      <w:r>
        <w:rPr>
          <w:rFonts w:ascii="Courier New" w:hAnsi="Courier New"/>
          <w:sz w:val="18"/>
        </w:rPr>
        <w:t>Implement CIOS pipeline only after Sprint 7 memory is complete. Do not implement pipeline orchestration before dependency hardening and passive memory records exist. When implementation begins, create cios/pipeline with typed stage inputs/outputs, no LLM calls, no external services, and tests proving evidence-to-decision traceability.</w:t>
      </w:r>
    </w:p>
    <w:p>
      <w:pPr>
        <w:pStyle w:val="Heading1"/>
      </w:pPr>
      <w:r>
        <w:t>12. Decision Record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Decision</w:t>
            </w:r>
          </w:p>
        </w:tc>
        <w:tc>
          <w:tcPr>
            <w:tcW w:type="dxa" w:w="3408"/>
            <w:vAlign w:val="center"/>
            <w:shd w:fill="D9EAF7"/>
          </w:tcPr>
          <w:p>
            <w:r/>
            <w:r>
              <w:rPr>
                <w:b/>
                <w:sz w:val="18"/>
              </w:rPr>
              <w:t>Rationale</w:t>
            </w:r>
          </w:p>
        </w:tc>
        <w:tc>
          <w:tcPr>
            <w:tcW w:type="dxa" w:w="3408"/>
            <w:vAlign w:val="center"/>
            <w:shd w:fill="D9EAF7"/>
          </w:tcPr>
          <w:p>
            <w:r/>
            <w:r>
              <w:rPr>
                <w:b/>
                <w:sz w:val="18"/>
              </w:rPr>
              <w:t>Status</w:t>
            </w:r>
          </w:p>
        </w:tc>
      </w:tr>
      <w:tr>
        <w:tc>
          <w:tcPr>
            <w:tcW w:type="dxa" w:w="3408"/>
            <w:vAlign w:val="center"/>
          </w:tcPr>
          <w:p>
            <w:r/>
            <w:r>
              <w:rPr>
                <w:b w:val="0"/>
                <w:sz w:val="18"/>
              </w:rPr>
              <w:t>Introduce Commercial Intelligence Pipeline</w:t>
            </w:r>
          </w:p>
        </w:tc>
        <w:tc>
          <w:tcPr>
            <w:tcW w:type="dxa" w:w="3408"/>
            <w:vAlign w:val="center"/>
          </w:tcPr>
          <w:p>
            <w:r/>
            <w:r>
              <w:rPr>
                <w:b w:val="0"/>
                <w:sz w:val="18"/>
              </w:rPr>
              <w:t>CIOS requires a canonical lifecycle from evidence to learning.</w:t>
            </w:r>
          </w:p>
        </w:tc>
        <w:tc>
          <w:tcPr>
            <w:tcW w:type="dxa" w:w="3408"/>
            <w:vAlign w:val="center"/>
          </w:tcPr>
          <w:p>
            <w:r/>
            <w:r>
              <w:rPr>
                <w:b w:val="0"/>
                <w:sz w:val="18"/>
              </w:rPr>
              <w:t>Accepted</w:t>
            </w:r>
          </w:p>
        </w:tc>
      </w:tr>
      <w:tr>
        <w:tc>
          <w:tcPr>
            <w:tcW w:type="dxa" w:w="3408"/>
            <w:vAlign w:val="center"/>
          </w:tcPr>
          <w:p>
            <w:r/>
            <w:r>
              <w:rPr>
                <w:b w:val="0"/>
                <w:sz w:val="18"/>
              </w:rPr>
              <w:t>Do not implement pipeline before memory</w:t>
            </w:r>
          </w:p>
        </w:tc>
        <w:tc>
          <w:tcPr>
            <w:tcW w:type="dxa" w:w="3408"/>
            <w:vAlign w:val="center"/>
          </w:tcPr>
          <w:p>
            <w:r/>
            <w:r>
              <w:rPr>
                <w:b w:val="0"/>
                <w:sz w:val="18"/>
              </w:rPr>
              <w:t>Pipeline needs passive persistence contracts before orchestration.</w:t>
            </w:r>
          </w:p>
        </w:tc>
        <w:tc>
          <w:tcPr>
            <w:tcW w:type="dxa" w:w="3408"/>
            <w:vAlign w:val="center"/>
          </w:tcPr>
          <w:p>
            <w:r/>
            <w:r>
              <w:rPr>
                <w:b w:val="0"/>
                <w:sz w:val="18"/>
              </w:rPr>
              <w:t>Accepted</w:t>
            </w:r>
          </w:p>
        </w:tc>
      </w:tr>
      <w:tr>
        <w:tc>
          <w:tcPr>
            <w:tcW w:type="dxa" w:w="3408"/>
            <w:vAlign w:val="center"/>
          </w:tcPr>
          <w:p>
            <w:r/>
            <w:r>
              <w:rPr>
                <w:b w:val="0"/>
                <w:sz w:val="18"/>
              </w:rPr>
              <w:t>Keep applications responsible for workflows</w:t>
            </w:r>
          </w:p>
        </w:tc>
        <w:tc>
          <w:tcPr>
            <w:tcW w:type="dxa" w:w="3408"/>
            <w:vAlign w:val="center"/>
          </w:tcPr>
          <w:p>
            <w:r/>
            <w:r>
              <w:rPr>
                <w:b w:val="0"/>
                <w:sz w:val="18"/>
              </w:rPr>
              <w:t>Prevents decision engine and memory from becoming monolithic.</w:t>
            </w:r>
          </w:p>
        </w:tc>
        <w:tc>
          <w:tcPr>
            <w:tcW w:type="dxa" w:w="3408"/>
            <w:vAlign w:val="center"/>
          </w:tcPr>
          <w:p>
            <w:r/>
            <w:r>
              <w:rPr>
                <w:b w:val="0"/>
                <w:sz w:val="18"/>
              </w:rPr>
              <w:t>Accepted</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