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document_class: research-planning-standard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short_name: Twin Plan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title: Commercial Digital Twin Research Plan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version: 0.1.0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status: 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owner: Rob / CIOS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canonical_contract: architecture/enterprise-intelligence/contracts/Commercial-Digital-Twin-Blueprint-Contract.md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operational_companion: research/agents/enterprise-blueprint-researcher/Commercial-Digital-Twin-Research-Agent-Guide.docx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proposed_repository_path: research/standards/Commercial-Digital-Twin-Research-Plan-Standard.md</w:t>
            </w:r>
          </w:p>
        </w:tc>
      </w:tr>
    </w:tbl>
    <w:bookmarkStart w:id="49" w:name="X9718b44aaa75bf2c0575db8cf34d96a5ed92370"/>
    <w:p>
      <w:pPr>
        <w:pStyle w:val="Heading1"/>
      </w:pPr>
      <w:r>
        <w:t xml:space="preserve">Commercial Digital Twin Research Plan Standard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Standard defines how a research plan MUST be constructed before beginning a Commercial Digital Twin research run.</w:t>
      </w:r>
    </w:p>
    <w:p>
      <w:pPr>
        <w:pStyle w:val="BodyText"/>
      </w:pPr>
      <w:r>
        <w:t xml:space="preserve">It converts the requirements of the Commercial Digital Twin Blueprint Contract into a controlled, reviewable and repeatable research plan.</w:t>
      </w:r>
    </w:p>
    <w:p>
      <w:pPr>
        <w:pStyle w:val="BodyText"/>
      </w:pPr>
      <w:r>
        <w:t xml:space="preserve">The Standard exists to prevent research from becoming:</w:t>
      </w:r>
    </w:p>
    <w:p>
      <w:pPr>
        <w:pStyle w:val="Compact"/>
        <w:numPr>
          <w:ilvl w:val="0"/>
          <w:numId w:val="1001"/>
        </w:numPr>
      </w:pPr>
      <w:r>
        <w:t xml:space="preserve">an unbounded document-gathering exercise;</w:t>
      </w:r>
    </w:p>
    <w:p>
      <w:pPr>
        <w:pStyle w:val="Compact"/>
        <w:numPr>
          <w:ilvl w:val="0"/>
          <w:numId w:val="1001"/>
        </w:numPr>
      </w:pPr>
      <w:r>
        <w:t xml:space="preserve">an annual-report summary;</w:t>
      </w:r>
    </w:p>
    <w:p>
      <w:pPr>
        <w:pStyle w:val="Compact"/>
        <w:numPr>
          <w:ilvl w:val="0"/>
          <w:numId w:val="1001"/>
        </w:numPr>
      </w:pPr>
      <w:r>
        <w:t xml:space="preserve">a collection of disconnected facts;</w:t>
      </w:r>
    </w:p>
    <w:p>
      <w:pPr>
        <w:pStyle w:val="Compact"/>
        <w:numPr>
          <w:ilvl w:val="0"/>
          <w:numId w:val="1001"/>
        </w:numPr>
      </w:pPr>
      <w:r>
        <w:t xml:space="preserve">an unsupported forecast;</w:t>
      </w:r>
    </w:p>
    <w:p>
      <w:pPr>
        <w:pStyle w:val="Compact"/>
        <w:numPr>
          <w:ilvl w:val="0"/>
          <w:numId w:val="1001"/>
        </w:numPr>
      </w:pPr>
      <w:r>
        <w:t xml:space="preserve">a premature list of AI opportunities;</w:t>
      </w:r>
    </w:p>
    <w:p>
      <w:pPr>
        <w:pStyle w:val="Compact"/>
        <w:numPr>
          <w:ilvl w:val="0"/>
          <w:numId w:val="1001"/>
        </w:numPr>
      </w:pPr>
      <w:r>
        <w:t xml:space="preserve">a polished report without inspectable evidence lineage.</w:t>
      </w:r>
    </w:p>
    <w:p>
      <w:pPr>
        <w:pStyle w:val="FirstParagraph"/>
      </w:pPr>
      <w:r>
        <w:t xml:space="preserve">A compliant research plan MUST explain:</w:t>
      </w:r>
    </w:p>
    <w:p>
      <w:pPr>
        <w:pStyle w:val="Compact"/>
        <w:numPr>
          <w:ilvl w:val="0"/>
          <w:numId w:val="1002"/>
        </w:numPr>
      </w:pPr>
      <w:r>
        <w:t xml:space="preserve">what enterprise is being modelled;</w:t>
      </w:r>
    </w:p>
    <w:p>
      <w:pPr>
        <w:pStyle w:val="Compact"/>
        <w:numPr>
          <w:ilvl w:val="0"/>
          <w:numId w:val="1002"/>
        </w:numPr>
      </w:pPr>
      <w:r>
        <w:t xml:space="preserve">which legal, operating, geographic and reporting boundaries apply;</w:t>
      </w:r>
    </w:p>
    <w:p>
      <w:pPr>
        <w:pStyle w:val="Compact"/>
        <w:numPr>
          <w:ilvl w:val="0"/>
          <w:numId w:val="1002"/>
        </w:numPr>
      </w:pPr>
      <w:r>
        <w:t xml:space="preserve">which decisions the resulting Twin is intended to improve;</w:t>
      </w:r>
    </w:p>
    <w:p>
      <w:pPr>
        <w:pStyle w:val="Compact"/>
        <w:numPr>
          <w:ilvl w:val="0"/>
          <w:numId w:val="1002"/>
        </w:numPr>
      </w:pPr>
      <w:r>
        <w:t xml:space="preserve">which questions must be answered;</w:t>
      </w:r>
    </w:p>
    <w:p>
      <w:pPr>
        <w:pStyle w:val="Compact"/>
        <w:numPr>
          <w:ilvl w:val="0"/>
          <w:numId w:val="1002"/>
        </w:numPr>
      </w:pPr>
      <w:r>
        <w:t xml:space="preserve">which evidence families will be used;</w:t>
      </w:r>
    </w:p>
    <w:p>
      <w:pPr>
        <w:pStyle w:val="Compact"/>
        <w:numPr>
          <w:ilvl w:val="0"/>
          <w:numId w:val="1002"/>
        </w:numPr>
      </w:pPr>
      <w:r>
        <w:t xml:space="preserve">how research will progress from corporate control to operating mechanisms;</w:t>
      </w:r>
    </w:p>
    <w:p>
      <w:pPr>
        <w:pStyle w:val="Compact"/>
        <w:numPr>
          <w:ilvl w:val="0"/>
          <w:numId w:val="1002"/>
        </w:numPr>
      </w:pPr>
      <w:r>
        <w:t xml:space="preserve">how facts, calculations, inferences, forecasts and Recommendations will be governed;</w:t>
      </w:r>
    </w:p>
    <w:p>
      <w:pPr>
        <w:pStyle w:val="Compact"/>
        <w:numPr>
          <w:ilvl w:val="0"/>
          <w:numId w:val="1002"/>
        </w:numPr>
      </w:pPr>
      <w:r>
        <w:t xml:space="preserve">how the next financial release will be modelled;</w:t>
      </w:r>
    </w:p>
    <w:p>
      <w:pPr>
        <w:pStyle w:val="Compact"/>
        <w:numPr>
          <w:ilvl w:val="0"/>
          <w:numId w:val="1002"/>
        </w:numPr>
      </w:pPr>
      <w:r>
        <w:t xml:space="preserve">how transformation hypotheses will be generated and challenged;</w:t>
      </w:r>
    </w:p>
    <w:p>
      <w:pPr>
        <w:pStyle w:val="Compact"/>
        <w:numPr>
          <w:ilvl w:val="0"/>
          <w:numId w:val="1002"/>
        </w:numPr>
      </w:pPr>
      <w:r>
        <w:t xml:space="preserve">when research is sufficiently complete;</w:t>
      </w:r>
    </w:p>
    <w:p>
      <w:pPr>
        <w:pStyle w:val="Compact"/>
        <w:numPr>
          <w:ilvl w:val="0"/>
          <w:numId w:val="1002"/>
        </w:numPr>
      </w:pPr>
      <w:r>
        <w:t xml:space="preserve">which gaps will remain Unknown;</w:t>
      </w:r>
    </w:p>
    <w:p>
      <w:pPr>
        <w:pStyle w:val="Compact"/>
        <w:numPr>
          <w:ilvl w:val="0"/>
          <w:numId w:val="1002"/>
        </w:numPr>
      </w:pPr>
      <w:r>
        <w:t xml:space="preserve">how the resulting Twin will be refreshed and scored.</w:t>
      </w:r>
    </w:p>
    <w:p>
      <w:pPr>
        <w:pStyle w:val="FirstParagraph"/>
      </w:pPr>
      <w:r>
        <w:t xml:space="preserve">The completed plan is the authorised execution design for a specific enterprise research run.</w:t>
      </w:r>
    </w:p>
    <w:p>
      <w:r>
        <w:pict>
          <v:rect style="width:0;height:1.5pt" o:hralign="center" o:hrstd="t" o:hr="t"/>
        </w:pict>
      </w:r>
    </w:p>
    <w:bookmarkEnd w:id="20"/>
    <w:bookmarkStart w:id="21" w:name="authority-and-document-relationship"/>
    <w:p>
      <w:pPr>
        <w:pStyle w:val="Heading2"/>
      </w:pPr>
      <w:r>
        <w:t xml:space="preserve">2. Authority and document relationship</w:t>
      </w:r>
    </w:p>
    <w:p>
      <w:pPr>
        <w:pStyle w:val="FirstParagraph"/>
      </w:pPr>
      <w:r>
        <w:t xml:space="preserve">The authority order for Commercial Digital Twin research is:</w:t>
      </w:r>
    </w:p>
    <w:p>
      <w:pPr>
        <w:pStyle w:val="Compact"/>
        <w:numPr>
          <w:ilvl w:val="0"/>
          <w:numId w:val="1003"/>
        </w:numPr>
      </w:pPr>
      <w:r>
        <w:t xml:space="preserve">explicit direction from the CIOS owner;</w:t>
      </w:r>
    </w:p>
    <w:p>
      <w:pPr>
        <w:pStyle w:val="Compact"/>
        <w:numPr>
          <w:ilvl w:val="0"/>
          <w:numId w:val="1003"/>
        </w:numPr>
      </w:pPr>
      <w:r>
        <w:t xml:space="preserve">Accepted Architecture Decision Records;</w:t>
      </w:r>
    </w:p>
    <w:p>
      <w:pPr>
        <w:pStyle w:val="Compact"/>
        <w:numPr>
          <w:ilvl w:val="0"/>
          <w:numId w:val="1003"/>
        </w:numPr>
      </w:pPr>
      <w:r>
        <w:t xml:space="preserve">owning CIOS architecture papers;</w:t>
      </w:r>
    </w:p>
    <w:p>
      <w:pPr>
        <w:pStyle w:val="Compact"/>
        <w:numPr>
          <w:ilvl w:val="0"/>
          <w:numId w:val="1003"/>
        </w:numPr>
      </w:pPr>
      <w:r>
        <w:t xml:space="preserve">CIOS Design Doctrine and Architecture Principles;</w:t>
      </w:r>
    </w:p>
    <w:p>
      <w:pPr>
        <w:pStyle w:val="Compact"/>
        <w:numPr>
          <w:ilvl w:val="0"/>
          <w:numId w:val="1003"/>
        </w:numPr>
      </w:pPr>
      <w:r>
        <w:t xml:space="preserve">CIOS Chief Architect Handbook;</w:t>
      </w:r>
    </w:p>
    <w:p>
      <w:pPr>
        <w:pStyle w:val="Compact"/>
        <w:numPr>
          <w:ilvl w:val="0"/>
          <w:numId w:val="1003"/>
        </w:numPr>
      </w:pPr>
      <w:r>
        <w:t xml:space="preserve">Commercial Digital Twin Blueprint Contract;</w:t>
      </w:r>
    </w:p>
    <w:p>
      <w:pPr>
        <w:pStyle w:val="Compact"/>
        <w:numPr>
          <w:ilvl w:val="0"/>
          <w:numId w:val="1003"/>
        </w:numPr>
      </w:pPr>
      <w:r>
        <w:t xml:space="preserve">this Research Plan Standard;</w:t>
      </w:r>
    </w:p>
    <w:p>
      <w:pPr>
        <w:pStyle w:val="Compact"/>
        <w:numPr>
          <w:ilvl w:val="0"/>
          <w:numId w:val="1003"/>
        </w:numPr>
      </w:pPr>
      <w:r>
        <w:t xml:space="preserve">Commercial Digital Twin Research Agent Guide;</w:t>
      </w:r>
    </w:p>
    <w:p>
      <w:pPr>
        <w:pStyle w:val="Compact"/>
        <w:numPr>
          <w:ilvl w:val="0"/>
          <w:numId w:val="1003"/>
        </w:numPr>
      </w:pPr>
      <w:r>
        <w:t xml:space="preserve">enterprise-specific research plan;</w:t>
      </w:r>
    </w:p>
    <w:p>
      <w:pPr>
        <w:pStyle w:val="Compact"/>
        <w:numPr>
          <w:ilvl w:val="0"/>
          <w:numId w:val="1003"/>
        </w:numPr>
      </w:pPr>
      <w:r>
        <w:t xml:space="preserve">runtime presentation or provider implementation.</w:t>
      </w:r>
    </w:p>
    <w:p>
      <w:pPr>
        <w:pStyle w:val="FirstParagraph"/>
      </w:pPr>
      <w:r>
        <w:t xml:space="preserve">Where this Standard conflicts with the Commercial Digital Twin Blueprint Contract, the Blueprint Contract wins.</w:t>
      </w:r>
    </w:p>
    <w:p>
      <w:pPr>
        <w:pStyle w:val="BodyText"/>
      </w:pPr>
      <w:r>
        <w:t xml:space="preserve">Where this Standard conflicts with the Research Agent Guide, this Standard governs research planning, unless doing so would conflict with the Blueprint Contract.</w:t>
      </w:r>
    </w:p>
    <w:p>
      <w:pPr>
        <w:pStyle w:val="BodyText"/>
      </w:pPr>
      <w:r>
        <w:t xml:space="preserve">An enterprise-specific plan MUST NOT weaken a mandatory requirement in the Blueprint Contract or this Standard.</w:t>
      </w:r>
    </w:p>
    <w:p>
      <w:pPr>
        <w:pStyle w:val="BodyText"/>
      </w:pPr>
      <w:r>
        <w:t xml:space="preserve">Normative language: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MUST</w:t>
      </w:r>
      <w:r>
        <w:t xml:space="preserve"> </w:t>
      </w:r>
      <w:r>
        <w:t xml:space="preserve">means required.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MUST NOT</w:t>
      </w:r>
      <w:r>
        <w:t xml:space="preserve"> </w:t>
      </w:r>
      <w:r>
        <w:t xml:space="preserve">means prohibited.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SHOULD</w:t>
      </w:r>
      <w:r>
        <w:t xml:space="preserve"> </w:t>
      </w:r>
      <w:r>
        <w:t xml:space="preserve">means expected unless a documented reason justifies departure.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MAY</w:t>
      </w:r>
      <w:r>
        <w:t xml:space="preserve"> </w:t>
      </w:r>
      <w:r>
        <w:t xml:space="preserve">means optional.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UNKNOWN</w:t>
      </w:r>
      <w:r>
        <w:t xml:space="preserve"> </w:t>
      </w:r>
      <w:r>
        <w:t xml:space="preserve">means material information has not been established and must not be guessed.</w:t>
      </w:r>
    </w:p>
    <w:p>
      <w:r>
        <w:pict>
          <v:rect style="width:0;height:1.5pt" o:hralign="center" o:hrstd="t" o:hr="t"/>
        </w:pict>
      </w:r>
    </w:p>
    <w:bookmarkEnd w:id="21"/>
    <w:bookmarkStart w:id="22" w:name="definition-of-a-research-plan"/>
    <w:p>
      <w:pPr>
        <w:pStyle w:val="Heading2"/>
      </w:pPr>
      <w:r>
        <w:t xml:space="preserve">3. Definition of a Research Plan</w:t>
      </w:r>
    </w:p>
    <w:p>
      <w:pPr>
        <w:pStyle w:val="FirstParagraph"/>
      </w:pPr>
      <w:r>
        <w:t xml:space="preserve">A Commercial Digital Twin Research Plan is a time-bound and reviewable execution design for constructing one enterprise Blueprint.</w:t>
      </w:r>
    </w:p>
    <w:p>
      <w:pPr>
        <w:pStyle w:val="BodyText"/>
      </w:pPr>
      <w:r>
        <w:t xml:space="preserve">It is not the Blueprint itself.</w:t>
      </w:r>
    </w:p>
    <w:p>
      <w:pPr>
        <w:pStyle w:val="BodyText"/>
      </w:pPr>
      <w:r>
        <w:t xml:space="preserve">The plan defines:</w:t>
      </w:r>
    </w:p>
    <w:p>
      <w:pPr>
        <w:pStyle w:val="Compact"/>
        <w:numPr>
          <w:ilvl w:val="0"/>
          <w:numId w:val="1005"/>
        </w:numPr>
      </w:pPr>
      <w:r>
        <w:t xml:space="preserve">the enterprise modelling boundary;</w:t>
      </w:r>
    </w:p>
    <w:p>
      <w:pPr>
        <w:pStyle w:val="Compact"/>
        <w:numPr>
          <w:ilvl w:val="0"/>
          <w:numId w:val="1005"/>
        </w:numPr>
      </w:pPr>
      <w:r>
        <w:t xml:space="preserve">research purpose and intended decisions;</w:t>
      </w:r>
    </w:p>
    <w:p>
      <w:pPr>
        <w:pStyle w:val="Compact"/>
        <w:numPr>
          <w:ilvl w:val="0"/>
          <w:numId w:val="1005"/>
        </w:numPr>
      </w:pPr>
      <w:r>
        <w:t xml:space="preserve">effective date and source cut-off;</w:t>
      </w:r>
    </w:p>
    <w:p>
      <w:pPr>
        <w:pStyle w:val="Compact"/>
        <w:numPr>
          <w:ilvl w:val="0"/>
          <w:numId w:val="1005"/>
        </w:numPr>
      </w:pPr>
      <w:r>
        <w:t xml:space="preserve">reporting and forecasting horizon;</w:t>
      </w:r>
    </w:p>
    <w:p>
      <w:pPr>
        <w:pStyle w:val="Compact"/>
        <w:numPr>
          <w:ilvl w:val="0"/>
          <w:numId w:val="1005"/>
        </w:numPr>
      </w:pPr>
      <w:r>
        <w:t xml:space="preserve">material enterprise domains;</w:t>
      </w:r>
    </w:p>
    <w:p>
      <w:pPr>
        <w:pStyle w:val="Compact"/>
        <w:numPr>
          <w:ilvl w:val="0"/>
          <w:numId w:val="1005"/>
        </w:numPr>
      </w:pPr>
      <w:r>
        <w:t xml:space="preserve">initial business-unit decomposition;</w:t>
      </w:r>
    </w:p>
    <w:p>
      <w:pPr>
        <w:pStyle w:val="Compact"/>
        <w:numPr>
          <w:ilvl w:val="0"/>
          <w:numId w:val="1005"/>
        </w:numPr>
      </w:pPr>
      <w:r>
        <w:t xml:space="preserve">research questions;</w:t>
      </w:r>
    </w:p>
    <w:p>
      <w:pPr>
        <w:pStyle w:val="Compact"/>
        <w:numPr>
          <w:ilvl w:val="0"/>
          <w:numId w:val="1005"/>
        </w:numPr>
      </w:pPr>
      <w:r>
        <w:t xml:space="preserve">evidence strategy;</w:t>
      </w:r>
    </w:p>
    <w:p>
      <w:pPr>
        <w:pStyle w:val="Compact"/>
        <w:numPr>
          <w:ilvl w:val="0"/>
          <w:numId w:val="1005"/>
        </w:numPr>
      </w:pPr>
      <w:r>
        <w:t xml:space="preserve">execution phases;</w:t>
      </w:r>
    </w:p>
    <w:p>
      <w:pPr>
        <w:pStyle w:val="Compact"/>
        <w:numPr>
          <w:ilvl w:val="0"/>
          <w:numId w:val="1005"/>
        </w:numPr>
      </w:pPr>
      <w:r>
        <w:t xml:space="preserve">required artefacts;</w:t>
      </w:r>
    </w:p>
    <w:p>
      <w:pPr>
        <w:pStyle w:val="Compact"/>
        <w:numPr>
          <w:ilvl w:val="0"/>
          <w:numId w:val="1005"/>
        </w:numPr>
      </w:pPr>
      <w:r>
        <w:t xml:space="preserve">evidence and confidence controls;</w:t>
      </w:r>
    </w:p>
    <w:p>
      <w:pPr>
        <w:pStyle w:val="Compact"/>
        <w:numPr>
          <w:ilvl w:val="0"/>
          <w:numId w:val="1005"/>
        </w:numPr>
      </w:pPr>
      <w:r>
        <w:t xml:space="preserve">entry and exit conditions;</w:t>
      </w:r>
    </w:p>
    <w:p>
      <w:pPr>
        <w:pStyle w:val="Compact"/>
        <w:numPr>
          <w:ilvl w:val="0"/>
          <w:numId w:val="1005"/>
        </w:numPr>
      </w:pPr>
      <w:r>
        <w:t xml:space="preserve">quality gates;</w:t>
      </w:r>
    </w:p>
    <w:p>
      <w:pPr>
        <w:pStyle w:val="Compact"/>
        <w:numPr>
          <w:ilvl w:val="0"/>
          <w:numId w:val="1005"/>
        </w:numPr>
      </w:pPr>
      <w:r>
        <w:t xml:space="preserve">research stop rules;</w:t>
      </w:r>
    </w:p>
    <w:p>
      <w:pPr>
        <w:pStyle w:val="Compact"/>
        <w:numPr>
          <w:ilvl w:val="0"/>
          <w:numId w:val="1005"/>
        </w:numPr>
      </w:pPr>
      <w:r>
        <w:t xml:space="preserve">refresh triggers;</w:t>
      </w:r>
    </w:p>
    <w:p>
      <w:pPr>
        <w:pStyle w:val="Compact"/>
        <w:numPr>
          <w:ilvl w:val="0"/>
          <w:numId w:val="1005"/>
        </w:numPr>
      </w:pPr>
      <w:r>
        <w:t xml:space="preserve">acceptance authority.</w:t>
      </w:r>
    </w:p>
    <w:p>
      <w:pPr>
        <w:pStyle w:val="FirstParagraph"/>
      </w:pPr>
      <w:r>
        <w:t xml:space="preserve">Every research run MUST have one approved plan.</w:t>
      </w:r>
    </w:p>
    <w:p>
      <w:pPr>
        <w:pStyle w:val="BodyText"/>
      </w:pPr>
      <w:r>
        <w:t xml:space="preserve">Material changes to scope, forecast horizon or research purpose MUST create a new plan version or a formally recorded amendment.</w:t>
      </w:r>
    </w:p>
    <w:p>
      <w:r>
        <w:pict>
          <v:rect style="width:0;height:1.5pt" o:hralign="center" o:hrstd="t" o:hr="t"/>
        </w:pict>
      </w:r>
    </w:p>
    <w:bookmarkEnd w:id="22"/>
    <w:bookmarkStart w:id="29" w:name="planning-doctrine"/>
    <w:p>
      <w:pPr>
        <w:pStyle w:val="Heading2"/>
      </w:pPr>
      <w:r>
        <w:t xml:space="preserve">4. Planning doctrine</w:t>
      </w:r>
    </w:p>
    <w:p>
      <w:pPr>
        <w:pStyle w:val="FirstParagraph"/>
      </w:pPr>
      <w:r>
        <w:t xml:space="preserve">The following principles apply throughout the plan.</w:t>
      </w:r>
    </w:p>
    <w:bookmarkStart w:id="23" w:name="plan-before-collecting"/>
    <w:p>
      <w:pPr>
        <w:pStyle w:val="Heading3"/>
      </w:pPr>
      <w:r>
        <w:t xml:space="preserve">4.1 Plan before collecting</w:t>
      </w:r>
    </w:p>
    <w:p>
      <w:pPr>
        <w:pStyle w:val="FirstParagraph"/>
      </w:pPr>
      <w:r>
        <w:t xml:space="preserve">Research MUST NOT begin with indiscriminate source collection.</w:t>
      </w:r>
    </w:p>
    <w:p>
      <w:pPr>
        <w:pStyle w:val="BodyText"/>
      </w:pPr>
      <w:r>
        <w:t xml:space="preserve">Before substantive enterprise evidence is gathered, the plan MUST establish:</w:t>
      </w:r>
    </w:p>
    <w:p>
      <w:pPr>
        <w:pStyle w:val="Compact"/>
        <w:numPr>
          <w:ilvl w:val="0"/>
          <w:numId w:val="1006"/>
        </w:numPr>
      </w:pPr>
      <w:r>
        <w:t xml:space="preserve">the modelling boundary;</w:t>
      </w:r>
    </w:p>
    <w:p>
      <w:pPr>
        <w:pStyle w:val="Compact"/>
        <w:numPr>
          <w:ilvl w:val="0"/>
          <w:numId w:val="1006"/>
        </w:numPr>
      </w:pPr>
      <w:r>
        <w:t xml:space="preserve">the target financial release;</w:t>
      </w:r>
    </w:p>
    <w:p>
      <w:pPr>
        <w:pStyle w:val="Compact"/>
        <w:numPr>
          <w:ilvl w:val="0"/>
          <w:numId w:val="1006"/>
        </w:numPr>
      </w:pPr>
      <w:r>
        <w:t xml:space="preserve">the research questions;</w:t>
      </w:r>
    </w:p>
    <w:p>
      <w:pPr>
        <w:pStyle w:val="Compact"/>
        <w:numPr>
          <w:ilvl w:val="0"/>
          <w:numId w:val="1006"/>
        </w:numPr>
      </w:pPr>
      <w:r>
        <w:t xml:space="preserve">the expected business-unit structure;</w:t>
      </w:r>
    </w:p>
    <w:p>
      <w:pPr>
        <w:pStyle w:val="Compact"/>
        <w:numPr>
          <w:ilvl w:val="0"/>
          <w:numId w:val="1006"/>
        </w:numPr>
      </w:pPr>
      <w:r>
        <w:t xml:space="preserve">the evidence families required;</w:t>
      </w:r>
    </w:p>
    <w:p>
      <w:pPr>
        <w:pStyle w:val="Compact"/>
        <w:numPr>
          <w:ilvl w:val="0"/>
          <w:numId w:val="1006"/>
        </w:numPr>
      </w:pPr>
      <w:r>
        <w:t xml:space="preserve">the initial source hierarchy;</w:t>
      </w:r>
    </w:p>
    <w:p>
      <w:pPr>
        <w:pStyle w:val="Compact"/>
        <w:numPr>
          <w:ilvl w:val="0"/>
          <w:numId w:val="1006"/>
        </w:numPr>
      </w:pPr>
      <w:r>
        <w:t xml:space="preserve">the artefact register;</w:t>
      </w:r>
    </w:p>
    <w:p>
      <w:pPr>
        <w:pStyle w:val="Compact"/>
        <w:numPr>
          <w:ilvl w:val="0"/>
          <w:numId w:val="1006"/>
        </w:numPr>
      </w:pPr>
      <w:r>
        <w:t xml:space="preserve">the quality and completion criteria.</w:t>
      </w:r>
    </w:p>
    <w:p>
      <w:pPr>
        <w:pStyle w:val="FirstParagraph"/>
      </w:pPr>
      <w:r>
        <w:t xml:space="preserve">Discovery research MAY be used to establish these planning facts, but it MUST be clearly separated from substantive evidence collection.</w:t>
      </w:r>
    </w:p>
    <w:bookmarkEnd w:id="23"/>
    <w:bookmarkStart w:id="24" w:name="questions-before-sources"/>
    <w:p>
      <w:pPr>
        <w:pStyle w:val="Heading3"/>
      </w:pPr>
      <w:r>
        <w:t xml:space="preserve">4.2 Questions before sources</w:t>
      </w:r>
    </w:p>
    <w:p>
      <w:pPr>
        <w:pStyle w:val="FirstParagraph"/>
      </w:pPr>
      <w:r>
        <w:t xml:space="preserve">Every research activity MUST be associated with a stated question.</w:t>
      </w:r>
    </w:p>
    <w:p>
      <w:pPr>
        <w:pStyle w:val="BodyText"/>
      </w:pPr>
      <w:r>
        <w:t xml:space="preserve">A source MUST NOT be collected merely because it appears relevant.</w:t>
      </w:r>
    </w:p>
    <w:p>
      <w:pPr>
        <w:pStyle w:val="BodyText"/>
      </w:pPr>
      <w:r>
        <w:t xml:space="preserve">The plan SHOULD identify:</w:t>
      </w:r>
    </w:p>
    <w:p>
      <w:pPr>
        <w:pStyle w:val="Compact"/>
        <w:numPr>
          <w:ilvl w:val="0"/>
          <w:numId w:val="1007"/>
        </w:numPr>
      </w:pPr>
      <w:r>
        <w:t xml:space="preserve">the decision question;</w:t>
      </w:r>
    </w:p>
    <w:p>
      <w:pPr>
        <w:pStyle w:val="Compact"/>
        <w:numPr>
          <w:ilvl w:val="0"/>
          <w:numId w:val="1007"/>
        </w:numPr>
      </w:pPr>
      <w:r>
        <w:t xml:space="preserve">the enterprise question;</w:t>
      </w:r>
    </w:p>
    <w:p>
      <w:pPr>
        <w:pStyle w:val="Compact"/>
        <w:numPr>
          <w:ilvl w:val="0"/>
          <w:numId w:val="1007"/>
        </w:numPr>
      </w:pPr>
      <w:r>
        <w:t xml:space="preserve">the analytical sub-question;</w:t>
      </w:r>
    </w:p>
    <w:p>
      <w:pPr>
        <w:pStyle w:val="Compact"/>
        <w:numPr>
          <w:ilvl w:val="0"/>
          <w:numId w:val="1007"/>
        </w:numPr>
      </w:pPr>
      <w:r>
        <w:t xml:space="preserve">the evidence required;</w:t>
      </w:r>
    </w:p>
    <w:p>
      <w:pPr>
        <w:pStyle w:val="Compact"/>
        <w:numPr>
          <w:ilvl w:val="0"/>
          <w:numId w:val="1007"/>
        </w:numPr>
      </w:pPr>
      <w:r>
        <w:t xml:space="preserve">the artefact that the answer will update.</w:t>
      </w:r>
    </w:p>
    <w:bookmarkEnd w:id="24"/>
    <w:bookmarkStart w:id="25" w:name="causality-before-narrative"/>
    <w:p>
      <w:pPr>
        <w:pStyle w:val="Heading3"/>
      </w:pPr>
      <w:r>
        <w:t xml:space="preserve">4.3 Causality before narrative</w:t>
      </w:r>
    </w:p>
    <w:p>
      <w:pPr>
        <w:pStyle w:val="FirstParagraph"/>
      </w:pPr>
      <w:r>
        <w:t xml:space="preserve">Research MUST seek causal explanation rather than descriptive volume.</w:t>
      </w:r>
    </w:p>
    <w:p>
      <w:pPr>
        <w:pStyle w:val="BodyText"/>
      </w:pPr>
      <w:r>
        <w:t xml:space="preserve">Material findings SHOULD be capable of following this spine:</w:t>
      </w:r>
    </w:p>
    <w:p>
      <w:pPr>
        <w:pStyle w:val="SourceCode"/>
      </w:pPr>
      <w:r>
        <w:rPr>
          <w:rStyle w:val="VerbatimChar"/>
        </w:rPr>
        <w:t xml:space="preserve">Ownership or external influence</w:t>
      </w:r>
      <w:r>
        <w:br/>
      </w:r>
      <w:r>
        <w:rPr>
          <w:rStyle w:val="VerbatimChar"/>
        </w:rPr>
        <w:t xml:space="preserve">→ Board agenda</w:t>
      </w:r>
      <w:r>
        <w:br/>
      </w:r>
      <w:r>
        <w:rPr>
          <w:rStyle w:val="VerbatimChar"/>
        </w:rPr>
        <w:t xml:space="preserve">→ Burning platform or strategic bet</w:t>
      </w:r>
      <w:r>
        <w:br/>
      </w:r>
      <w:r>
        <w:rPr>
          <w:rStyle w:val="VerbatimChar"/>
        </w:rPr>
        <w:t xml:space="preserve">→ Business-unit economics</w:t>
      </w:r>
      <w:r>
        <w:br/>
      </w:r>
      <w:r>
        <w:rPr>
          <w:rStyle w:val="VerbatimChar"/>
        </w:rPr>
        <w:t xml:space="preserve">→ Revenue, cost, cash, capital or risk driver</w:t>
      </w:r>
      <w:r>
        <w:br/>
      </w:r>
      <w:r>
        <w:rPr>
          <w:rStyle w:val="VerbatimChar"/>
        </w:rPr>
        <w:t xml:space="preserve">→ Process, workforce, platform, data or supplier mechanism</w:t>
      </w:r>
      <w:r>
        <w:br/>
      </w:r>
      <w:r>
        <w:rPr>
          <w:rStyle w:val="VerbatimChar"/>
        </w:rPr>
        <w:t xml:space="preserve">→ Operating KPI or leading indicator</w:t>
      </w:r>
      <w:r>
        <w:br/>
      </w:r>
      <w:r>
        <w:rPr>
          <w:rStyle w:val="VerbatimChar"/>
        </w:rPr>
        <w:t xml:space="preserve">→ Expected financial or strategic consequence</w:t>
      </w:r>
      <w:r>
        <w:br/>
      </w:r>
      <w:r>
        <w:rPr>
          <w:rStyle w:val="VerbatimChar"/>
        </w:rPr>
        <w:t xml:space="preserve">→ Next-release implication</w:t>
      </w:r>
      <w:r>
        <w:br/>
      </w:r>
      <w:r>
        <w:rPr>
          <w:rStyle w:val="VerbatimChar"/>
        </w:rPr>
        <w:t xml:space="preserve">→ Transformation requirement</w:t>
      </w:r>
      <w:r>
        <w:br/>
      </w:r>
      <w:r>
        <w:rPr>
          <w:rStyle w:val="VerbatimChar"/>
        </w:rPr>
        <w:t xml:space="preserve">→ Specific role for AI</w:t>
      </w:r>
    </w:p>
    <w:bookmarkEnd w:id="25"/>
    <w:bookmarkStart w:id="26" w:name="evidence-before-conviction"/>
    <w:p>
      <w:pPr>
        <w:pStyle w:val="Heading3"/>
      </w:pPr>
      <w:r>
        <w:t xml:space="preserve">4.4 Evidence before conviction</w:t>
      </w:r>
    </w:p>
    <w:p>
      <w:pPr>
        <w:pStyle w:val="FirstParagraph"/>
      </w:pPr>
      <w:r>
        <w:t xml:space="preserve">No material conclusion may be accepted solely because it is plausible.</w:t>
      </w:r>
    </w:p>
    <w:p>
      <w:pPr>
        <w:pStyle w:val="BodyText"/>
      </w:pPr>
      <w:r>
        <w:t xml:space="preserve">The plan MUST define:</w:t>
      </w:r>
    </w:p>
    <w:p>
      <w:pPr>
        <w:pStyle w:val="Compact"/>
        <w:numPr>
          <w:ilvl w:val="0"/>
          <w:numId w:val="1008"/>
        </w:numPr>
      </w:pPr>
      <w:r>
        <w:t xml:space="preserve">the evidence needed to support the conclusion;</w:t>
      </w:r>
    </w:p>
    <w:p>
      <w:pPr>
        <w:pStyle w:val="Compact"/>
        <w:numPr>
          <w:ilvl w:val="0"/>
          <w:numId w:val="1008"/>
        </w:numPr>
      </w:pPr>
      <w:r>
        <w:t xml:space="preserve">the corroboration threshold;</w:t>
      </w:r>
    </w:p>
    <w:p>
      <w:pPr>
        <w:pStyle w:val="Compact"/>
        <w:numPr>
          <w:ilvl w:val="0"/>
          <w:numId w:val="1008"/>
        </w:numPr>
      </w:pPr>
      <w:r>
        <w:t xml:space="preserve">the evidence that would weaken it;</w:t>
      </w:r>
    </w:p>
    <w:p>
      <w:pPr>
        <w:pStyle w:val="Compact"/>
        <w:numPr>
          <w:ilvl w:val="0"/>
          <w:numId w:val="1008"/>
        </w:numPr>
      </w:pPr>
      <w:r>
        <w:t xml:space="preserve">the evidence that would falsify it;</w:t>
      </w:r>
    </w:p>
    <w:p>
      <w:pPr>
        <w:pStyle w:val="Compact"/>
        <w:numPr>
          <w:ilvl w:val="0"/>
          <w:numId w:val="1008"/>
        </w:numPr>
      </w:pPr>
      <w:r>
        <w:t xml:space="preserve">the confidence decision.</w:t>
      </w:r>
    </w:p>
    <w:bookmarkEnd w:id="26"/>
    <w:bookmarkStart w:id="27" w:name="unknowns-are-valid-outputs"/>
    <w:p>
      <w:pPr>
        <w:pStyle w:val="Heading3"/>
      </w:pPr>
      <w:r>
        <w:t xml:space="preserve">4.5 Unknowns are valid outputs</w:t>
      </w:r>
    </w:p>
    <w:p>
      <w:pPr>
        <w:pStyle w:val="FirstParagraph"/>
      </w:pPr>
      <w:r>
        <w:t xml:space="preserve">The plan MUST create a controlled way to preserve material gaps.</w:t>
      </w:r>
    </w:p>
    <w:p>
      <w:pPr>
        <w:pStyle w:val="BodyText"/>
      </w:pPr>
      <w:r>
        <w:t xml:space="preserve">An Unknown MUST state:</w:t>
      </w:r>
    </w:p>
    <w:p>
      <w:pPr>
        <w:pStyle w:val="Compact"/>
        <w:numPr>
          <w:ilvl w:val="0"/>
          <w:numId w:val="1009"/>
        </w:numPr>
      </w:pPr>
      <w:r>
        <w:t xml:space="preserve">what is not known;</w:t>
      </w:r>
    </w:p>
    <w:p>
      <w:pPr>
        <w:pStyle w:val="Compact"/>
        <w:numPr>
          <w:ilvl w:val="0"/>
          <w:numId w:val="1009"/>
        </w:numPr>
      </w:pPr>
      <w:r>
        <w:t xml:space="preserve">why it matters;</w:t>
      </w:r>
    </w:p>
    <w:p>
      <w:pPr>
        <w:pStyle w:val="Compact"/>
        <w:numPr>
          <w:ilvl w:val="0"/>
          <w:numId w:val="1009"/>
        </w:numPr>
      </w:pPr>
      <w:r>
        <w:t xml:space="preserve">what has been searched;</w:t>
      </w:r>
    </w:p>
    <w:p>
      <w:pPr>
        <w:pStyle w:val="Compact"/>
        <w:numPr>
          <w:ilvl w:val="0"/>
          <w:numId w:val="1009"/>
        </w:numPr>
      </w:pPr>
      <w:r>
        <w:t xml:space="preserve">why the available evidence is insufficient;</w:t>
      </w:r>
    </w:p>
    <w:p>
      <w:pPr>
        <w:pStyle w:val="Compact"/>
        <w:numPr>
          <w:ilvl w:val="0"/>
          <w:numId w:val="1009"/>
        </w:numPr>
      </w:pPr>
      <w:r>
        <w:t xml:space="preserve">the next validation action;</w:t>
      </w:r>
    </w:p>
    <w:p>
      <w:pPr>
        <w:pStyle w:val="Compact"/>
        <w:numPr>
          <w:ilvl w:val="0"/>
          <w:numId w:val="1009"/>
        </w:numPr>
      </w:pPr>
      <w:r>
        <w:t xml:space="preserve">whether the gap prevents a forecast, Hypothesis or Recommendation.</w:t>
      </w:r>
    </w:p>
    <w:bookmarkEnd w:id="27"/>
    <w:bookmarkStart w:id="28" w:name="learning-before-selling"/>
    <w:p>
      <w:pPr>
        <w:pStyle w:val="Heading3"/>
      </w:pPr>
      <w:r>
        <w:t xml:space="preserve">4.6 Learning before selling</w:t>
      </w:r>
    </w:p>
    <w:p>
      <w:pPr>
        <w:pStyle w:val="FirstParagraph"/>
      </w:pPr>
      <w:r>
        <w:t xml:space="preserve">Transformation research MUST distinguish:</w:t>
      </w:r>
    </w:p>
    <w:p>
      <w:pPr>
        <w:pStyle w:val="Compact"/>
        <w:numPr>
          <w:ilvl w:val="0"/>
          <w:numId w:val="1010"/>
        </w:numPr>
      </w:pPr>
      <w:r>
        <w:t xml:space="preserve">enterprise need;</w:t>
      </w:r>
    </w:p>
    <w:p>
      <w:pPr>
        <w:pStyle w:val="Compact"/>
        <w:numPr>
          <w:ilvl w:val="0"/>
          <w:numId w:val="1010"/>
        </w:numPr>
      </w:pPr>
      <w:r>
        <w:t xml:space="preserve">transformation feasibility;</w:t>
      </w:r>
    </w:p>
    <w:p>
      <w:pPr>
        <w:pStyle w:val="Compact"/>
        <w:numPr>
          <w:ilvl w:val="0"/>
          <w:numId w:val="1010"/>
        </w:numPr>
      </w:pPr>
      <w:r>
        <w:t xml:space="preserve">executive ownership;</w:t>
      </w:r>
    </w:p>
    <w:p>
      <w:pPr>
        <w:pStyle w:val="Compact"/>
        <w:numPr>
          <w:ilvl w:val="0"/>
          <w:numId w:val="1010"/>
        </w:numPr>
      </w:pPr>
      <w:r>
        <w:t xml:space="preserve">existing programme coverage;</w:t>
      </w:r>
    </w:p>
    <w:p>
      <w:pPr>
        <w:pStyle w:val="Compact"/>
        <w:numPr>
          <w:ilvl w:val="0"/>
          <w:numId w:val="1010"/>
        </w:numPr>
      </w:pPr>
      <w:r>
        <w:t xml:space="preserve">incumbent control;</w:t>
      </w:r>
    </w:p>
    <w:p>
      <w:pPr>
        <w:pStyle w:val="Compact"/>
        <w:numPr>
          <w:ilvl w:val="0"/>
          <w:numId w:val="1010"/>
        </w:numPr>
      </w:pPr>
      <w:r>
        <w:t xml:space="preserve">procurement accessibility;</w:t>
      </w:r>
    </w:p>
    <w:p>
      <w:pPr>
        <w:pStyle w:val="Compact"/>
        <w:numPr>
          <w:ilvl w:val="0"/>
          <w:numId w:val="1010"/>
        </w:numPr>
      </w:pPr>
      <w:r>
        <w:t xml:space="preserve">commercial timing.</w:t>
      </w:r>
    </w:p>
    <w:p>
      <w:pPr>
        <w:pStyle w:val="FirstParagraph"/>
      </w:pPr>
      <w:r>
        <w:t xml:space="preserve">Where ownership, value, timing or accessibility remains weakly evidenced, the correct output SHOULD be a learning action rather than a sales Recommendation.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andatory-plan-identity"/>
    <w:p>
      <w:pPr>
        <w:pStyle w:val="Heading2"/>
      </w:pPr>
      <w:r>
        <w:t xml:space="preserve">5. Mandatory plan identity</w:t>
      </w:r>
    </w:p>
    <w:p>
      <w:pPr>
        <w:pStyle w:val="FirstParagraph"/>
      </w:pPr>
      <w:r>
        <w:t xml:space="preserve">Every enterprise-specific plan MUST begin with the following identity fields.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identifier</w:t>
            </w:r>
          </w:p>
        </w:tc>
        <w:tc>
          <w:tcPr/>
          <w:p>
            <w:pPr>
              <w:pStyle w:val="Compact"/>
            </w:pPr>
            <w:r>
              <w:t xml:space="preserve">Stable identifier for the research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Legal and commonly used enterprise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identifier</w:t>
            </w:r>
          </w:p>
        </w:tc>
        <w:tc>
          <w:tcPr/>
          <w:p>
            <w:pPr>
              <w:pStyle w:val="Compact"/>
            </w:pPr>
            <w:r>
              <w:t xml:space="preserve">LEI, company number or equivalent where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version</w:t>
            </w:r>
          </w:p>
        </w:tc>
        <w:tc>
          <w:tcPr/>
          <w:p>
            <w:pPr>
              <w:pStyle w:val="Compact"/>
            </w:pPr>
            <w:r>
              <w:t xml:space="preserve">Semantic or controlled document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status</w:t>
            </w:r>
          </w:p>
        </w:tc>
        <w:tc>
          <w:tcPr/>
          <w:p>
            <w:pPr>
              <w:pStyle w:val="Compact"/>
            </w:pPr>
            <w:r>
              <w:t xml:space="preserve">Draft, Proposed, Approved, Superseded or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Accountable CIOS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lead</w:t>
            </w:r>
          </w:p>
        </w:tc>
        <w:tc>
          <w:tcPr/>
          <w:p>
            <w:pPr>
              <w:pStyle w:val="Compact"/>
            </w:pPr>
            <w:r>
              <w:t xml:space="preserve">Person or agent accountable for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Person authorised to approve the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Commercial or strategic decisions the Twin should improve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boundary</w:t>
            </w:r>
          </w:p>
        </w:tc>
        <w:tc>
          <w:tcPr/>
          <w:p>
            <w:pPr>
              <w:pStyle w:val="Compact"/>
            </w:pPr>
            <w:r>
              <w:t xml:space="preserve">Parent, subsidiaries, joint ventures and exclusions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boundary</w:t>
            </w:r>
          </w:p>
        </w:tc>
        <w:tc>
          <w:tcPr/>
          <w:p>
            <w:pPr>
              <w:pStyle w:val="Compact"/>
            </w:pPr>
            <w:r>
              <w:t xml:space="preserve">Business units, functions and value streams 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boundary</w:t>
            </w:r>
          </w:p>
        </w:tc>
        <w:tc>
          <w:tcPr/>
          <w:p>
            <w:pPr>
              <w:pStyle w:val="Compact"/>
            </w:pPr>
            <w:r>
              <w:t xml:space="preserve">Included and excluded geographies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horizon</w:t>
            </w:r>
          </w:p>
        </w:tc>
        <w:tc>
          <w:tcPr/>
          <w:p>
            <w:pPr>
              <w:pStyle w:val="Compact"/>
            </w:pPr>
            <w:r>
              <w:t xml:space="preserve">Period used for trend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Date represented by the Twin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cut-off</w:t>
            </w:r>
          </w:p>
        </w:tc>
        <w:tc>
          <w:tcPr/>
          <w:p>
            <w:pPr>
              <w:pStyle w:val="Compact"/>
            </w:pPr>
            <w:r>
              <w:t xml:space="preserve">Latest evidence date permitted in the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 target</w:t>
            </w:r>
          </w:p>
        </w:tc>
        <w:tc>
          <w:tcPr/>
          <w:p>
            <w:pPr>
              <w:pStyle w:val="Compact"/>
            </w:pPr>
            <w:r>
              <w:t xml:space="preserve">Exact next financial release or forecast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 horizon</w:t>
            </w:r>
          </w:p>
        </w:tc>
        <w:tc>
          <w:tcPr/>
          <w:p>
            <w:pPr>
              <w:pStyle w:val="Compact"/>
            </w:pPr>
            <w:r>
              <w:t xml:space="preserve">Period covered by baseline, upside and downside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Materiality basis</w:t>
            </w:r>
          </w:p>
        </w:tc>
        <w:tc>
          <w:tcPr/>
          <w:p>
            <w:pPr>
              <w:pStyle w:val="Compact"/>
            </w:pPr>
            <w:r>
              <w:t xml:space="preserve">Basis for deciding which units and value pools require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maturity</w:t>
            </w:r>
          </w:p>
        </w:tc>
        <w:tc>
          <w:tcPr/>
          <w:p>
            <w:pPr>
              <w:pStyle w:val="Compact"/>
            </w:pPr>
            <w:r>
              <w:t xml:space="preserve">Target maturity and predictive ambition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context</w:t>
            </w:r>
          </w:p>
        </w:tc>
        <w:tc>
          <w:tcPr/>
          <w:p>
            <w:pPr>
              <w:pStyle w:val="Compact"/>
            </w:pPr>
            <w:r>
              <w:t xml:space="preserve">Labelled knowledge supplied by contributors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hypotheses</w:t>
            </w:r>
          </w:p>
        </w:tc>
        <w:tc>
          <w:tcPr/>
          <w:p>
            <w:pPr>
              <w:pStyle w:val="Compact"/>
            </w:pPr>
            <w:r>
              <w:t xml:space="preserve">Questions to test without treating them as conclusions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Deliberate exclusions</w:t>
            </w:r>
          </w:p>
        </w:tc>
        <w:tc>
          <w:tcPr/>
          <w:p>
            <w:pPr>
              <w:pStyle w:val="Compact"/>
            </w:pPr>
            <w:r>
              <w:t xml:space="preserve">Areas intentionally excluded and 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 authority</w:t>
            </w:r>
          </w:p>
        </w:tc>
        <w:tc>
          <w:tcPr/>
          <w:p>
            <w:pPr>
              <w:pStyle w:val="Compact"/>
            </w:pPr>
            <w:r>
              <w:t xml:space="preserve">Person or body that approves completion</w:t>
            </w:r>
          </w:p>
        </w:tc>
      </w:tr>
    </w:tbl>
    <w:p>
      <w:pPr>
        <w:pStyle w:val="BodyText"/>
      </w:pPr>
      <w:r>
        <w:t xml:space="preserve">The forecast target MUST be fixed before forecast analysis begins.</w:t>
      </w:r>
    </w:p>
    <w:p>
      <w:pPr>
        <w:pStyle w:val="BodyText"/>
      </w:pPr>
      <w:r>
        <w:t xml:space="preserve">Relative descriptions such as</w:t>
      </w:r>
      <w:r>
        <w:t xml:space="preserve"> </w:t>
      </w:r>
      <w:r>
        <w:t xml:space="preserve">“the next results”</w:t>
      </w:r>
      <w:r>
        <w:t xml:space="preserve"> </w:t>
      </w:r>
      <w:r>
        <w:t xml:space="preserve">SHOULD be replaced by an exact expected event and accounting period where known.</w:t>
      </w:r>
    </w:p>
    <w:p>
      <w:r>
        <w:pict>
          <v:rect style="width:0;height:1.5pt" o:hralign="center" o:hrstd="t" o:hr="t"/>
        </w:pict>
      </w:r>
    </w:p>
    <w:bookmarkEnd w:id="30"/>
    <w:bookmarkStart w:id="35" w:name="research-question-architecture"/>
    <w:p>
      <w:pPr>
        <w:pStyle w:val="Heading2"/>
      </w:pPr>
      <w:r>
        <w:t xml:space="preserve">6. Research-question architecture</w:t>
      </w:r>
    </w:p>
    <w:p>
      <w:pPr>
        <w:pStyle w:val="FirstParagraph"/>
      </w:pPr>
      <w:r>
        <w:t xml:space="preserve">The plan MUST contain a structured question set.</w:t>
      </w:r>
    </w:p>
    <w:bookmarkStart w:id="31" w:name="decision-questions"/>
    <w:p>
      <w:pPr>
        <w:pStyle w:val="Heading3"/>
      </w:pPr>
      <w:r>
        <w:t xml:space="preserve">6.1 Decision questions</w:t>
      </w:r>
    </w:p>
    <w:p>
      <w:pPr>
        <w:pStyle w:val="FirstParagraph"/>
      </w:pPr>
      <w:r>
        <w:t xml:space="preserve">Decision questions state what the strategic user needs to decide differently because of the Twin.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11"/>
        </w:numPr>
      </w:pPr>
      <w:r>
        <w:t xml:space="preserve">Where should executive engagement begin?</w:t>
      </w:r>
    </w:p>
    <w:p>
      <w:pPr>
        <w:pStyle w:val="Compact"/>
        <w:numPr>
          <w:ilvl w:val="0"/>
          <w:numId w:val="1011"/>
        </w:numPr>
      </w:pPr>
      <w:r>
        <w:t xml:space="preserve">Which enterprise problem is sufficiently material and accessible?</w:t>
      </w:r>
    </w:p>
    <w:p>
      <w:pPr>
        <w:pStyle w:val="Compact"/>
        <w:numPr>
          <w:ilvl w:val="0"/>
          <w:numId w:val="1011"/>
        </w:numPr>
      </w:pPr>
      <w:r>
        <w:t xml:space="preserve">Which operating mechanism should be validated first?</w:t>
      </w:r>
    </w:p>
    <w:p>
      <w:pPr>
        <w:pStyle w:val="Compact"/>
        <w:numPr>
          <w:ilvl w:val="0"/>
          <w:numId w:val="1011"/>
        </w:numPr>
      </w:pPr>
      <w:r>
        <w:t xml:space="preserve">Which transformation thesis merits investment?</w:t>
      </w:r>
    </w:p>
    <w:p>
      <w:pPr>
        <w:pStyle w:val="Compact"/>
        <w:numPr>
          <w:ilvl w:val="0"/>
          <w:numId w:val="1011"/>
        </w:numPr>
      </w:pPr>
      <w:r>
        <w:t xml:space="preserve">Which business unit is most likely to change the Group trajectory?</w:t>
      </w:r>
    </w:p>
    <w:p>
      <w:pPr>
        <w:pStyle w:val="Compact"/>
        <w:numPr>
          <w:ilvl w:val="0"/>
          <w:numId w:val="1011"/>
        </w:numPr>
      </w:pPr>
      <w:r>
        <w:t xml:space="preserve">What evidence would disqualify an opportunity?</w:t>
      </w:r>
    </w:p>
    <w:bookmarkEnd w:id="31"/>
    <w:bookmarkStart w:id="32" w:name="enterprise-questions"/>
    <w:p>
      <w:pPr>
        <w:pStyle w:val="Heading3"/>
      </w:pPr>
      <w:r>
        <w:t xml:space="preserve">6.2 Enterprise questions</w:t>
      </w:r>
    </w:p>
    <w:p>
      <w:pPr>
        <w:pStyle w:val="FirstParagraph"/>
      </w:pPr>
      <w:r>
        <w:t xml:space="preserve">The plan MUST include questions covering:</w:t>
      </w:r>
    </w:p>
    <w:p>
      <w:pPr>
        <w:pStyle w:val="Compact"/>
        <w:numPr>
          <w:ilvl w:val="0"/>
          <w:numId w:val="1012"/>
        </w:numPr>
      </w:pPr>
      <w:r>
        <w:t xml:space="preserve">Who owns, controls and influences the enterprise?</w:t>
      </w:r>
    </w:p>
    <w:p>
      <w:pPr>
        <w:pStyle w:val="Compact"/>
        <w:numPr>
          <w:ilvl w:val="0"/>
          <w:numId w:val="1012"/>
        </w:numPr>
      </w:pPr>
      <w:r>
        <w:t xml:space="preserve">What must the board defend, fix, deliver and prove?</w:t>
      </w:r>
    </w:p>
    <w:p>
      <w:pPr>
        <w:pStyle w:val="Compact"/>
        <w:numPr>
          <w:ilvl w:val="0"/>
          <w:numId w:val="1012"/>
        </w:numPr>
      </w:pPr>
      <w:r>
        <w:t xml:space="preserve">Which burning platforms are real?</w:t>
      </w:r>
    </w:p>
    <w:p>
      <w:pPr>
        <w:pStyle w:val="Compact"/>
        <w:numPr>
          <w:ilvl w:val="0"/>
          <w:numId w:val="1012"/>
        </w:numPr>
      </w:pPr>
      <w:r>
        <w:t xml:space="preserve">Which strategic bets management is relying on?</w:t>
      </w:r>
    </w:p>
    <w:p>
      <w:pPr>
        <w:pStyle w:val="Compact"/>
        <w:numPr>
          <w:ilvl w:val="0"/>
          <w:numId w:val="1012"/>
        </w:numPr>
      </w:pPr>
      <w:r>
        <w:t xml:space="preserve">How is the substantial majority of revenue produced?</w:t>
      </w:r>
    </w:p>
    <w:p>
      <w:pPr>
        <w:pStyle w:val="Compact"/>
        <w:numPr>
          <w:ilvl w:val="0"/>
          <w:numId w:val="1012"/>
        </w:numPr>
      </w:pPr>
      <w:r>
        <w:t xml:space="preserve">Where are material costs generated and controlled?</w:t>
      </w:r>
    </w:p>
    <w:p>
      <w:pPr>
        <w:pStyle w:val="Compact"/>
        <w:numPr>
          <w:ilvl w:val="0"/>
          <w:numId w:val="1012"/>
        </w:numPr>
      </w:pPr>
      <w:r>
        <w:t xml:space="preserve">How does profit convert into cash?</w:t>
      </w:r>
    </w:p>
    <w:p>
      <w:pPr>
        <w:pStyle w:val="Compact"/>
        <w:numPr>
          <w:ilvl w:val="0"/>
          <w:numId w:val="1012"/>
        </w:numPr>
      </w:pPr>
      <w:r>
        <w:t xml:space="preserve">Which business units create or destroy value?</w:t>
      </w:r>
    </w:p>
    <w:p>
      <w:pPr>
        <w:pStyle w:val="Compact"/>
        <w:numPr>
          <w:ilvl w:val="0"/>
          <w:numId w:val="1012"/>
        </w:numPr>
      </w:pPr>
      <w:r>
        <w:t xml:space="preserve">How do people, processes, platforms, data and suppliers produce those outcomes?</w:t>
      </w:r>
    </w:p>
    <w:p>
      <w:pPr>
        <w:pStyle w:val="Compact"/>
        <w:numPr>
          <w:ilvl w:val="0"/>
          <w:numId w:val="1012"/>
        </w:numPr>
      </w:pPr>
      <w:r>
        <w:t xml:space="preserve">What prevents or delays change?</w:t>
      </w:r>
    </w:p>
    <w:p>
      <w:pPr>
        <w:pStyle w:val="Compact"/>
        <w:numPr>
          <w:ilvl w:val="0"/>
          <w:numId w:val="1012"/>
        </w:numPr>
      </w:pPr>
      <w:r>
        <w:t xml:space="preserve">Which indicators will shape the target financial release?</w:t>
      </w:r>
    </w:p>
    <w:p>
      <w:pPr>
        <w:pStyle w:val="Compact"/>
        <w:numPr>
          <w:ilvl w:val="0"/>
          <w:numId w:val="1012"/>
        </w:numPr>
      </w:pPr>
      <w:r>
        <w:t xml:space="preserve">Which transformations could materially alter the trajectory?</w:t>
      </w:r>
    </w:p>
    <w:p>
      <w:pPr>
        <w:pStyle w:val="Compact"/>
        <w:numPr>
          <w:ilvl w:val="0"/>
          <w:numId w:val="1012"/>
        </w:numPr>
      </w:pPr>
      <w:r>
        <w:t xml:space="preserve">Who would own, resist or already control those transformations?</w:t>
      </w:r>
    </w:p>
    <w:p>
      <w:pPr>
        <w:pStyle w:val="Compact"/>
        <w:numPr>
          <w:ilvl w:val="0"/>
          <w:numId w:val="1012"/>
        </w:numPr>
      </w:pPr>
      <w:r>
        <w:t xml:space="preserve">Is the commercial opportunity accessible?</w:t>
      </w:r>
    </w:p>
    <w:p>
      <w:pPr>
        <w:pStyle w:val="Compact"/>
        <w:numPr>
          <w:ilvl w:val="0"/>
          <w:numId w:val="1012"/>
        </w:numPr>
      </w:pPr>
      <w:r>
        <w:t xml:space="preserve">What remains Unknown or contradictory?</w:t>
      </w:r>
    </w:p>
    <w:bookmarkEnd w:id="32"/>
    <w:bookmarkStart w:id="33" w:name="analytical-sub-questions"/>
    <w:p>
      <w:pPr>
        <w:pStyle w:val="Heading3"/>
      </w:pPr>
      <w:r>
        <w:t xml:space="preserve">6.3 Analytical sub-questions</w:t>
      </w:r>
    </w:p>
    <w:p>
      <w:pPr>
        <w:pStyle w:val="FirstParagraph"/>
      </w:pPr>
      <w:r>
        <w:t xml:space="preserve">Each phase SHOULD break the enterprise questions into evidence-seeking sub-questions.</w:t>
      </w:r>
    </w:p>
    <w:p>
      <w:pPr>
        <w:pStyle w:val="BodyText"/>
      </w:pPr>
      <w:r>
        <w:t xml:space="preserve">Each sub-question SHOULD record:</w:t>
      </w:r>
    </w:p>
    <w:p>
      <w:pPr>
        <w:pStyle w:val="Compact"/>
        <w:numPr>
          <w:ilvl w:val="0"/>
          <w:numId w:val="1013"/>
        </w:numPr>
      </w:pPr>
      <w:r>
        <w:t xml:space="preserve">question identifier;</w:t>
      </w:r>
    </w:p>
    <w:p>
      <w:pPr>
        <w:pStyle w:val="Compact"/>
        <w:numPr>
          <w:ilvl w:val="0"/>
          <w:numId w:val="1013"/>
        </w:numPr>
      </w:pPr>
      <w:r>
        <w:t xml:space="preserve">question;</w:t>
      </w:r>
    </w:p>
    <w:p>
      <w:pPr>
        <w:pStyle w:val="Compact"/>
        <w:numPr>
          <w:ilvl w:val="0"/>
          <w:numId w:val="1013"/>
        </w:numPr>
      </w:pPr>
      <w:r>
        <w:t xml:space="preserve">affected enterprise domain;</w:t>
      </w:r>
    </w:p>
    <w:p>
      <w:pPr>
        <w:pStyle w:val="Compact"/>
        <w:numPr>
          <w:ilvl w:val="0"/>
          <w:numId w:val="1013"/>
        </w:numPr>
      </w:pPr>
      <w:r>
        <w:t xml:space="preserve">required evidence families;</w:t>
      </w:r>
    </w:p>
    <w:p>
      <w:pPr>
        <w:pStyle w:val="Compact"/>
        <w:numPr>
          <w:ilvl w:val="0"/>
          <w:numId w:val="1013"/>
        </w:numPr>
      </w:pPr>
      <w:r>
        <w:t xml:space="preserve">expected artefact;</w:t>
      </w:r>
    </w:p>
    <w:p>
      <w:pPr>
        <w:pStyle w:val="Compact"/>
        <w:numPr>
          <w:ilvl w:val="0"/>
          <w:numId w:val="1013"/>
        </w:numPr>
      </w:pPr>
      <w:r>
        <w:t xml:space="preserve">priority;</w:t>
      </w:r>
    </w:p>
    <w:p>
      <w:pPr>
        <w:pStyle w:val="Compact"/>
        <w:numPr>
          <w:ilvl w:val="0"/>
          <w:numId w:val="1013"/>
        </w:numPr>
      </w:pPr>
      <w:r>
        <w:t xml:space="preserve">current answer state;</w:t>
      </w:r>
    </w:p>
    <w:p>
      <w:pPr>
        <w:pStyle w:val="Compact"/>
        <w:numPr>
          <w:ilvl w:val="0"/>
          <w:numId w:val="1013"/>
        </w:numPr>
      </w:pPr>
      <w:r>
        <w:t xml:space="preserve">confidence;</w:t>
      </w:r>
    </w:p>
    <w:p>
      <w:pPr>
        <w:pStyle w:val="Compact"/>
        <w:numPr>
          <w:ilvl w:val="0"/>
          <w:numId w:val="1013"/>
        </w:numPr>
      </w:pPr>
      <w:r>
        <w:t xml:space="preserve">next action.</w:t>
      </w:r>
    </w:p>
    <w:bookmarkEnd w:id="33"/>
    <w:bookmarkStart w:id="34" w:name="question-priority"/>
    <w:p>
      <w:pPr>
        <w:pStyle w:val="Heading3"/>
      </w:pPr>
      <w:r>
        <w:t xml:space="preserve">6.4 Question priority</w:t>
      </w:r>
    </w:p>
    <w:p>
      <w:pPr>
        <w:pStyle w:val="FirstParagraph"/>
      </w:pPr>
      <w:r>
        <w:t xml:space="preserve">Questions SHOULD be prioritised by:</w:t>
      </w:r>
    </w:p>
    <w:p>
      <w:pPr>
        <w:pStyle w:val="Compact"/>
        <w:numPr>
          <w:ilvl w:val="0"/>
          <w:numId w:val="1014"/>
        </w:numPr>
      </w:pPr>
      <w:r>
        <w:t xml:space="preserve">decision impact;</w:t>
      </w:r>
    </w:p>
    <w:p>
      <w:pPr>
        <w:pStyle w:val="Compact"/>
        <w:numPr>
          <w:ilvl w:val="0"/>
          <w:numId w:val="1014"/>
        </w:numPr>
      </w:pPr>
      <w:r>
        <w:t xml:space="preserve">financial or strategic materiality;</w:t>
      </w:r>
    </w:p>
    <w:p>
      <w:pPr>
        <w:pStyle w:val="Compact"/>
        <w:numPr>
          <w:ilvl w:val="0"/>
          <w:numId w:val="1014"/>
        </w:numPr>
      </w:pPr>
      <w:r>
        <w:t xml:space="preserve">uncertainty;</w:t>
      </w:r>
    </w:p>
    <w:p>
      <w:pPr>
        <w:pStyle w:val="Compact"/>
        <w:numPr>
          <w:ilvl w:val="0"/>
          <w:numId w:val="1014"/>
        </w:numPr>
      </w:pPr>
      <w:r>
        <w:t xml:space="preserve">time sensitivity;</w:t>
      </w:r>
    </w:p>
    <w:p>
      <w:pPr>
        <w:pStyle w:val="Compact"/>
        <w:numPr>
          <w:ilvl w:val="0"/>
          <w:numId w:val="1014"/>
        </w:numPr>
      </w:pPr>
      <w:r>
        <w:t xml:space="preserve">value of additional information;</w:t>
      </w:r>
    </w:p>
    <w:p>
      <w:pPr>
        <w:pStyle w:val="Compact"/>
        <w:numPr>
          <w:ilvl w:val="0"/>
          <w:numId w:val="1014"/>
        </w:numPr>
      </w:pPr>
      <w:r>
        <w:t xml:space="preserve">dependency on other questions.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evidence-architecture"/>
    <w:p>
      <w:pPr>
        <w:pStyle w:val="Heading2"/>
      </w:pPr>
      <w:r>
        <w:t xml:space="preserve">7. Evidence architecture</w:t>
      </w:r>
    </w:p>
    <w:p>
      <w:pPr>
        <w:pStyle w:val="FirstParagraph"/>
      </w:pPr>
      <w:r>
        <w:t xml:space="preserve">The plan MUST define the evidence strategy before substantive collection.</w:t>
      </w:r>
    </w:p>
    <w:bookmarkStart w:id="36" w:name="required-evidence-families"/>
    <w:p>
      <w:pPr>
        <w:pStyle w:val="Heading3"/>
      </w:pPr>
      <w:r>
        <w:t xml:space="preserve">7.1 Required evidence families</w:t>
      </w:r>
    </w:p>
    <w:p>
      <w:pPr>
        <w:pStyle w:val="FirstParagraph"/>
      </w:pPr>
      <w:r>
        <w:t xml:space="preserve">The source plan SHOULD cover:</w:t>
      </w:r>
    </w:p>
    <w:p>
      <w:pPr>
        <w:pStyle w:val="Compact"/>
        <w:numPr>
          <w:ilvl w:val="0"/>
          <w:numId w:val="1015"/>
        </w:numPr>
      </w:pPr>
      <w:r>
        <w:t xml:space="preserve">enterprise primary reporting;</w:t>
      </w:r>
    </w:p>
    <w:p>
      <w:pPr>
        <w:pStyle w:val="Compact"/>
        <w:numPr>
          <w:ilvl w:val="0"/>
          <w:numId w:val="1015"/>
        </w:numPr>
      </w:pPr>
      <w:r>
        <w:t xml:space="preserve">governance and remuneration;</w:t>
      </w:r>
    </w:p>
    <w:p>
      <w:pPr>
        <w:pStyle w:val="Compact"/>
        <w:numPr>
          <w:ilvl w:val="0"/>
          <w:numId w:val="1015"/>
        </w:numPr>
      </w:pPr>
      <w:r>
        <w:t xml:space="preserve">regulatory and government evidence;</w:t>
      </w:r>
    </w:p>
    <w:p>
      <w:pPr>
        <w:pStyle w:val="Compact"/>
        <w:numPr>
          <w:ilvl w:val="0"/>
          <w:numId w:val="1015"/>
        </w:numPr>
      </w:pPr>
      <w:r>
        <w:t xml:space="preserve">customer and operational performance;</w:t>
      </w:r>
    </w:p>
    <w:p>
      <w:pPr>
        <w:pStyle w:val="Compact"/>
        <w:numPr>
          <w:ilvl w:val="0"/>
          <w:numId w:val="1015"/>
        </w:numPr>
      </w:pPr>
      <w:r>
        <w:t xml:space="preserve">workforce and organisation;</w:t>
      </w:r>
    </w:p>
    <w:p>
      <w:pPr>
        <w:pStyle w:val="Compact"/>
        <w:numPr>
          <w:ilvl w:val="0"/>
          <w:numId w:val="1015"/>
        </w:numPr>
      </w:pPr>
      <w:r>
        <w:t xml:space="preserve">technology, data and suppliers;</w:t>
      </w:r>
    </w:p>
    <w:p>
      <w:pPr>
        <w:pStyle w:val="Compact"/>
        <w:numPr>
          <w:ilvl w:val="0"/>
          <w:numId w:val="1015"/>
        </w:numPr>
      </w:pPr>
      <w:r>
        <w:t xml:space="preserve">procurement and contracts;</w:t>
      </w:r>
    </w:p>
    <w:p>
      <w:pPr>
        <w:pStyle w:val="Compact"/>
        <w:numPr>
          <w:ilvl w:val="0"/>
          <w:numId w:val="1015"/>
        </w:numPr>
      </w:pPr>
      <w:r>
        <w:t xml:space="preserve">competitors and sector;</w:t>
      </w:r>
    </w:p>
    <w:p>
      <w:pPr>
        <w:pStyle w:val="Compact"/>
        <w:numPr>
          <w:ilvl w:val="0"/>
          <w:numId w:val="1015"/>
        </w:numPr>
      </w:pPr>
      <w:r>
        <w:t xml:space="preserve">macroeconomic and capital-market conditions;</w:t>
      </w:r>
    </w:p>
    <w:p>
      <w:pPr>
        <w:pStyle w:val="Compact"/>
        <w:numPr>
          <w:ilvl w:val="0"/>
          <w:numId w:val="1015"/>
        </w:numPr>
      </w:pPr>
      <w:r>
        <w:t xml:space="preserve">human-supplied knowledge.</w:t>
      </w:r>
    </w:p>
    <w:p>
      <w:pPr>
        <w:pStyle w:val="FirstParagraph"/>
      </w:pPr>
      <w:r>
        <w:t xml:space="preserve">An annual report alone is insufficient.</w:t>
      </w:r>
    </w:p>
    <w:bookmarkEnd w:id="36"/>
    <w:bookmarkStart w:id="37" w:name="source-hierarchy"/>
    <w:p>
      <w:pPr>
        <w:pStyle w:val="Heading3"/>
      </w:pPr>
      <w:r>
        <w:t xml:space="preserve">7.2 Source hierarchy</w:t>
      </w:r>
    </w:p>
    <w:p>
      <w:pPr>
        <w:pStyle w:val="FirstParagraph"/>
      </w:pPr>
      <w:r>
        <w:t xml:space="preserve">Every source SHOULD be assigned a source tier.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Authoritative primary evidence directly tied to the enterprise or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Authoritative independent evidence such as regulators, government or audited 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3</w:t>
            </w:r>
          </w:p>
        </w:tc>
        <w:tc>
          <w:tcPr/>
          <w:p>
            <w:pPr>
              <w:pStyle w:val="Compact"/>
            </w:pPr>
            <w:r>
              <w:t xml:space="preserve">Credible supplier, customer, union, analyst or specialist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4</w:t>
            </w:r>
          </w:p>
        </w:tc>
        <w:tc>
          <w:tcPr/>
          <w:p>
            <w:pPr>
              <w:pStyle w:val="Compact"/>
            </w:pPr>
            <w:r>
              <w:t xml:space="preserve">Credible secondary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5</w:t>
            </w:r>
          </w:p>
        </w:tc>
        <w:tc>
          <w:tcPr/>
          <w:p>
            <w:pPr>
              <w:pStyle w:val="Compact"/>
            </w:pPr>
            <w:r>
              <w:t xml:space="preserve">Weak, promotional, unattributed or difficult-to-verify evidence</w:t>
            </w:r>
          </w:p>
        </w:tc>
      </w:tr>
    </w:tbl>
    <w:p>
      <w:pPr>
        <w:pStyle w:val="BodyText"/>
      </w:pPr>
      <w:r>
        <w:t xml:space="preserve">Tier 5 evidence MUST NOT independently support a strong conclusion.</w:t>
      </w:r>
    </w:p>
    <w:p>
      <w:pPr>
        <w:pStyle w:val="BodyText"/>
      </w:pPr>
      <w:r>
        <w:t xml:space="preserve">Supplier case studies and partnership announcements MUST be treated as potentially promotional unless corroborated.</w:t>
      </w:r>
    </w:p>
    <w:bookmarkEnd w:id="37"/>
    <w:bookmarkStart w:id="38" w:name="source-register"/>
    <w:p>
      <w:pPr>
        <w:pStyle w:val="Heading3"/>
      </w:pPr>
      <w:r>
        <w:t xml:space="preserve">7.3 Source register</w:t>
      </w:r>
    </w:p>
    <w:p>
      <w:pPr>
        <w:pStyle w:val="FirstParagraph"/>
      </w:pPr>
      <w:r>
        <w:t xml:space="preserve">Every reviewed source MUST record:</w:t>
      </w:r>
    </w:p>
    <w:p>
      <w:pPr>
        <w:pStyle w:val="Compact"/>
        <w:numPr>
          <w:ilvl w:val="0"/>
          <w:numId w:val="1016"/>
        </w:numPr>
      </w:pPr>
      <w:r>
        <w:t xml:space="preserve">source identifier;</w:t>
      </w:r>
    </w:p>
    <w:p>
      <w:pPr>
        <w:pStyle w:val="Compact"/>
        <w:numPr>
          <w:ilvl w:val="0"/>
          <w:numId w:val="1016"/>
        </w:numPr>
      </w:pPr>
      <w:r>
        <w:t xml:space="preserve">title;</w:t>
      </w:r>
    </w:p>
    <w:p>
      <w:pPr>
        <w:pStyle w:val="Compact"/>
        <w:numPr>
          <w:ilvl w:val="0"/>
          <w:numId w:val="1016"/>
        </w:numPr>
      </w:pPr>
      <w:r>
        <w:t xml:space="preserve">publisher;</w:t>
      </w:r>
    </w:p>
    <w:p>
      <w:pPr>
        <w:pStyle w:val="Compact"/>
        <w:numPr>
          <w:ilvl w:val="0"/>
          <w:numId w:val="1016"/>
        </w:numPr>
      </w:pPr>
      <w:r>
        <w:t xml:space="preserve">publication date;</w:t>
      </w:r>
    </w:p>
    <w:p>
      <w:pPr>
        <w:pStyle w:val="Compact"/>
        <w:numPr>
          <w:ilvl w:val="0"/>
          <w:numId w:val="1016"/>
        </w:numPr>
      </w:pPr>
      <w:r>
        <w:t xml:space="preserve">event or reporting date;</w:t>
      </w:r>
    </w:p>
    <w:p>
      <w:pPr>
        <w:pStyle w:val="Compact"/>
        <w:numPr>
          <w:ilvl w:val="0"/>
          <w:numId w:val="1016"/>
        </w:numPr>
      </w:pPr>
      <w:r>
        <w:t xml:space="preserve">collection date;</w:t>
      </w:r>
    </w:p>
    <w:p>
      <w:pPr>
        <w:pStyle w:val="Compact"/>
        <w:numPr>
          <w:ilvl w:val="0"/>
          <w:numId w:val="1016"/>
        </w:numPr>
      </w:pPr>
      <w:r>
        <w:t xml:space="preserve">source tier;</w:t>
      </w:r>
    </w:p>
    <w:p>
      <w:pPr>
        <w:pStyle w:val="Compact"/>
        <w:numPr>
          <w:ilvl w:val="0"/>
          <w:numId w:val="1016"/>
        </w:numPr>
      </w:pPr>
      <w:r>
        <w:t xml:space="preserve">evidence family;</w:t>
      </w:r>
    </w:p>
    <w:p>
      <w:pPr>
        <w:pStyle w:val="Compact"/>
        <w:numPr>
          <w:ilvl w:val="0"/>
          <w:numId w:val="1016"/>
        </w:numPr>
      </w:pPr>
      <w:r>
        <w:t xml:space="preserve">enterprise scope;</w:t>
      </w:r>
    </w:p>
    <w:p>
      <w:pPr>
        <w:pStyle w:val="Compact"/>
        <w:numPr>
          <w:ilvl w:val="0"/>
          <w:numId w:val="1016"/>
        </w:numPr>
      </w:pPr>
      <w:r>
        <w:t xml:space="preserve">relevant entities;</w:t>
      </w:r>
    </w:p>
    <w:p>
      <w:pPr>
        <w:pStyle w:val="Compact"/>
        <w:numPr>
          <w:ilvl w:val="0"/>
          <w:numId w:val="1016"/>
        </w:numPr>
      </w:pPr>
      <w:r>
        <w:t xml:space="preserve">relevant questions;</w:t>
      </w:r>
    </w:p>
    <w:p>
      <w:pPr>
        <w:pStyle w:val="Compact"/>
        <w:numPr>
          <w:ilvl w:val="0"/>
          <w:numId w:val="1016"/>
        </w:numPr>
      </w:pPr>
      <w:r>
        <w:t xml:space="preserve">extracted facts;</w:t>
      </w:r>
    </w:p>
    <w:p>
      <w:pPr>
        <w:pStyle w:val="Compact"/>
        <w:numPr>
          <w:ilvl w:val="0"/>
          <w:numId w:val="1016"/>
        </w:numPr>
      </w:pPr>
      <w:r>
        <w:t xml:space="preserve">limitations;</w:t>
      </w:r>
    </w:p>
    <w:p>
      <w:pPr>
        <w:pStyle w:val="Compact"/>
        <w:numPr>
          <w:ilvl w:val="0"/>
          <w:numId w:val="1016"/>
        </w:numPr>
      </w:pPr>
      <w:r>
        <w:t xml:space="preserve">independence concerns;</w:t>
      </w:r>
    </w:p>
    <w:p>
      <w:pPr>
        <w:pStyle w:val="Compact"/>
        <w:numPr>
          <w:ilvl w:val="0"/>
          <w:numId w:val="1016"/>
        </w:numPr>
      </w:pPr>
      <w:r>
        <w:t xml:space="preserve">freshness;</w:t>
      </w:r>
    </w:p>
    <w:p>
      <w:pPr>
        <w:pStyle w:val="Compact"/>
        <w:numPr>
          <w:ilvl w:val="0"/>
          <w:numId w:val="1016"/>
        </w:numPr>
      </w:pPr>
      <w:r>
        <w:t xml:space="preserve">accepted or rejected state;</w:t>
      </w:r>
    </w:p>
    <w:p>
      <w:pPr>
        <w:pStyle w:val="Compact"/>
        <w:numPr>
          <w:ilvl w:val="0"/>
          <w:numId w:val="1016"/>
        </w:numPr>
      </w:pPr>
      <w:r>
        <w:t xml:space="preserve">rejection reason where applicable.</w:t>
      </w:r>
    </w:p>
    <w:bookmarkEnd w:id="38"/>
    <w:bookmarkStart w:id="39" w:name="source-family-coverage"/>
    <w:p>
      <w:pPr>
        <w:pStyle w:val="Heading3"/>
      </w:pPr>
      <w:r>
        <w:t xml:space="preserve">7.4 Source-family coverage</w:t>
      </w:r>
    </w:p>
    <w:p>
      <w:pPr>
        <w:pStyle w:val="FirstParagraph"/>
      </w:pPr>
      <w:r>
        <w:t xml:space="preserve">The plan MUST define minimum evidence-family coverage for material conclusions.</w:t>
      </w:r>
    </w:p>
    <w:p>
      <w:pPr>
        <w:pStyle w:val="BodyText"/>
      </w:pPr>
      <w:r>
        <w:t xml:space="preserve">Strong inferences SHOULD normally use evidence from at least two genuinely independent families.</w:t>
      </w:r>
    </w:p>
    <w:p>
      <w:pPr>
        <w:pStyle w:val="BodyText"/>
      </w:pPr>
      <w:r>
        <w:t xml:space="preserve">Multiple articles repeating the same announcement do not constitute independent corroboration.</w:t>
      </w:r>
    </w:p>
    <w:bookmarkEnd w:id="39"/>
    <w:bookmarkStart w:id="40" w:name="rejected-evidence"/>
    <w:p>
      <w:pPr>
        <w:pStyle w:val="Heading3"/>
      </w:pPr>
      <w:r>
        <w:t xml:space="preserve">7.5 Rejected evidence</w:t>
      </w:r>
    </w:p>
    <w:p>
      <w:pPr>
        <w:pStyle w:val="FirstParagraph"/>
      </w:pPr>
      <w:r>
        <w:t xml:space="preserve">The research record MUST retain a rejected-evidence log.</w:t>
      </w:r>
    </w:p>
    <w:p>
      <w:pPr>
        <w:pStyle w:val="BodyText"/>
      </w:pPr>
      <w:r>
        <w:t xml:space="preserve">Evidence may be rejected because it is:</w:t>
      </w:r>
    </w:p>
    <w:p>
      <w:pPr>
        <w:pStyle w:val="Compact"/>
        <w:numPr>
          <w:ilvl w:val="0"/>
          <w:numId w:val="1017"/>
        </w:numPr>
      </w:pPr>
      <w:r>
        <w:t xml:space="preserve">stale;</w:t>
      </w:r>
    </w:p>
    <w:p>
      <w:pPr>
        <w:pStyle w:val="Compact"/>
        <w:numPr>
          <w:ilvl w:val="0"/>
          <w:numId w:val="1017"/>
        </w:numPr>
      </w:pPr>
      <w:r>
        <w:t xml:space="preserve">promotional;</w:t>
      </w:r>
    </w:p>
    <w:p>
      <w:pPr>
        <w:pStyle w:val="Compact"/>
        <w:numPr>
          <w:ilvl w:val="0"/>
          <w:numId w:val="1017"/>
        </w:numPr>
      </w:pPr>
      <w:r>
        <w:t xml:space="preserve">unsupported;</w:t>
      </w:r>
    </w:p>
    <w:p>
      <w:pPr>
        <w:pStyle w:val="Compact"/>
        <w:numPr>
          <w:ilvl w:val="0"/>
          <w:numId w:val="1017"/>
        </w:numPr>
      </w:pPr>
      <w:r>
        <w:t xml:space="preserve">outside the enterprise scope;</w:t>
      </w:r>
    </w:p>
    <w:p>
      <w:pPr>
        <w:pStyle w:val="Compact"/>
        <w:numPr>
          <w:ilvl w:val="0"/>
          <w:numId w:val="1017"/>
        </w:numPr>
      </w:pPr>
      <w:r>
        <w:t xml:space="preserve">inconsistent in accounting basis;</w:t>
      </w:r>
    </w:p>
    <w:p>
      <w:pPr>
        <w:pStyle w:val="Compact"/>
        <w:numPr>
          <w:ilvl w:val="0"/>
          <w:numId w:val="1017"/>
        </w:numPr>
      </w:pPr>
      <w:r>
        <w:t xml:space="preserve">duplicated from another source;</w:t>
      </w:r>
    </w:p>
    <w:p>
      <w:pPr>
        <w:pStyle w:val="Compact"/>
        <w:numPr>
          <w:ilvl w:val="0"/>
          <w:numId w:val="1017"/>
        </w:numPr>
      </w:pPr>
      <w:r>
        <w:t xml:space="preserve">contradicted by stronger evidence;</w:t>
      </w:r>
    </w:p>
    <w:p>
      <w:pPr>
        <w:pStyle w:val="Compact"/>
        <w:numPr>
          <w:ilvl w:val="0"/>
          <w:numId w:val="1017"/>
        </w:numPr>
      </w:pPr>
      <w:r>
        <w:t xml:space="preserve">based on an unidentified source;</w:t>
      </w:r>
    </w:p>
    <w:p>
      <w:pPr>
        <w:pStyle w:val="Compact"/>
        <w:numPr>
          <w:ilvl w:val="0"/>
          <w:numId w:val="1017"/>
        </w:numPr>
      </w:pPr>
      <w:r>
        <w:t xml:space="preserve">materially incomplete.</w:t>
      </w:r>
    </w:p>
    <w:p>
      <w:pPr>
        <w:pStyle w:val="FirstParagraph"/>
      </w:pPr>
      <w:r>
        <w:t xml:space="preserve">Rejecting evidence does not mean deleting it from the research record.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truth-lineage-and-identifier-standard"/>
    <w:p>
      <w:pPr>
        <w:pStyle w:val="Heading2"/>
      </w:pPr>
      <w:r>
        <w:t xml:space="preserve">8. Truth, lineage and identifier standard</w:t>
      </w:r>
    </w:p>
    <w:p>
      <w:pPr>
        <w:pStyle w:val="FirstParagraph"/>
      </w:pPr>
      <w:r>
        <w:t xml:space="preserve">Every material research object MUST have a stable identifier.</w:t>
      </w:r>
    </w:p>
    <w:p>
      <w:pPr>
        <w:pStyle w:val="BodyText"/>
      </w:pPr>
      <w:r>
        <w:t xml:space="preserve">Recommended prefixes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EVD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Reported fact</w:t>
            </w:r>
          </w:p>
        </w:tc>
        <w:tc>
          <w:tcPr/>
          <w:p>
            <w:pPr>
              <w:pStyle w:val="Compact"/>
            </w:pPr>
            <w:r>
              <w:t xml:space="preserve">FAC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t xml:space="preserve">INF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HYP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</w:t>
            </w:r>
          </w:p>
        </w:tc>
        <w:tc>
          <w:tcPr/>
          <w:p>
            <w:pPr>
              <w:pStyle w:val="Compact"/>
            </w:pPr>
            <w:r>
              <w:t xml:space="preserve">FCT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question</w:t>
            </w:r>
          </w:p>
        </w:tc>
        <w:tc>
          <w:tcPr/>
          <w:p>
            <w:pPr>
              <w:pStyle w:val="Compact"/>
            </w:pPr>
            <w:r>
              <w:t xml:space="preserve">QST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</w:pPr>
            <w:r>
              <w:t xml:space="preserve">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trace</w:t>
            </w:r>
          </w:p>
        </w:tc>
        <w:tc>
          <w:tcPr/>
          <w:p>
            <w:pPr>
              <w:pStyle w:val="Compact"/>
            </w:pPr>
            <w:r>
              <w:t xml:space="preserve">TRC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Transformation thesis</w:t>
            </w:r>
          </w:p>
        </w:tc>
        <w:tc>
          <w:tcPr/>
          <w:p>
            <w:pPr>
              <w:pStyle w:val="Compact"/>
            </w:pPr>
            <w:r>
              <w:t xml:space="preserve">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DEC</w:t>
            </w:r>
          </w:p>
        </w:tc>
      </w:tr>
    </w:tbl>
    <w:p>
      <w:pPr>
        <w:pStyle w:val="BodyText"/>
      </w:pPr>
      <w:r>
        <w:t xml:space="preserve">Identifiers SHOULD remain stable across plan and Blueprint versions.</w:t>
      </w:r>
    </w:p>
    <w:p>
      <w:pPr>
        <w:pStyle w:val="BodyText"/>
      </w:pPr>
      <w:r>
        <w:t xml:space="preserve">Every material item MUST include:</w:t>
      </w:r>
    </w:p>
    <w:p>
      <w:pPr>
        <w:pStyle w:val="Compact"/>
        <w:numPr>
          <w:ilvl w:val="0"/>
          <w:numId w:val="1018"/>
        </w:numPr>
      </w:pPr>
      <w:r>
        <w:t xml:space="preserve">item identifier;</w:t>
      </w:r>
    </w:p>
    <w:p>
      <w:pPr>
        <w:pStyle w:val="Compact"/>
        <w:numPr>
          <w:ilvl w:val="0"/>
          <w:numId w:val="1018"/>
        </w:numPr>
      </w:pPr>
      <w:r>
        <w:t xml:space="preserve">truth class;</w:t>
      </w:r>
    </w:p>
    <w:p>
      <w:pPr>
        <w:pStyle w:val="Compact"/>
        <w:numPr>
          <w:ilvl w:val="0"/>
          <w:numId w:val="1018"/>
        </w:numPr>
      </w:pPr>
      <w:r>
        <w:t xml:space="preserve">statement;</w:t>
      </w:r>
    </w:p>
    <w:p>
      <w:pPr>
        <w:pStyle w:val="Compact"/>
        <w:numPr>
          <w:ilvl w:val="0"/>
          <w:numId w:val="1018"/>
        </w:numPr>
      </w:pPr>
      <w:r>
        <w:t xml:space="preserve">affected entities;</w:t>
      </w:r>
    </w:p>
    <w:p>
      <w:pPr>
        <w:pStyle w:val="Compact"/>
        <w:numPr>
          <w:ilvl w:val="0"/>
          <w:numId w:val="1018"/>
        </w:numPr>
      </w:pPr>
      <w:r>
        <w:t xml:space="preserve">enterprise domain;</w:t>
      </w:r>
    </w:p>
    <w:p>
      <w:pPr>
        <w:pStyle w:val="Compact"/>
        <w:numPr>
          <w:ilvl w:val="0"/>
          <w:numId w:val="1018"/>
        </w:numPr>
      </w:pPr>
      <w:r>
        <w:t xml:space="preserve">effective date;</w:t>
      </w:r>
    </w:p>
    <w:p>
      <w:pPr>
        <w:pStyle w:val="Compact"/>
        <w:numPr>
          <w:ilvl w:val="0"/>
          <w:numId w:val="1018"/>
        </w:numPr>
      </w:pPr>
      <w:r>
        <w:t xml:space="preserve">collection date;</w:t>
      </w:r>
    </w:p>
    <w:p>
      <w:pPr>
        <w:pStyle w:val="Compact"/>
        <w:numPr>
          <w:ilvl w:val="0"/>
          <w:numId w:val="1018"/>
        </w:numPr>
      </w:pPr>
      <w:r>
        <w:t xml:space="preserve">source identifiers;</w:t>
      </w:r>
    </w:p>
    <w:p>
      <w:pPr>
        <w:pStyle w:val="Compact"/>
        <w:numPr>
          <w:ilvl w:val="0"/>
          <w:numId w:val="1018"/>
        </w:numPr>
      </w:pPr>
      <w:r>
        <w:t xml:space="preserve">supporting evidence;</w:t>
      </w:r>
    </w:p>
    <w:p>
      <w:pPr>
        <w:pStyle w:val="Compact"/>
        <w:numPr>
          <w:ilvl w:val="0"/>
          <w:numId w:val="1018"/>
        </w:numPr>
      </w:pPr>
      <w:r>
        <w:t xml:space="preserve">contrary evidence;</w:t>
      </w:r>
    </w:p>
    <w:p>
      <w:pPr>
        <w:pStyle w:val="Compact"/>
        <w:numPr>
          <w:ilvl w:val="0"/>
          <w:numId w:val="1018"/>
        </w:numPr>
      </w:pPr>
      <w:r>
        <w:t xml:space="preserve">confidence;</w:t>
      </w:r>
    </w:p>
    <w:p>
      <w:pPr>
        <w:pStyle w:val="Compact"/>
        <w:numPr>
          <w:ilvl w:val="0"/>
          <w:numId w:val="1018"/>
        </w:numPr>
      </w:pPr>
      <w:r>
        <w:t xml:space="preserve">freshness;</w:t>
      </w:r>
    </w:p>
    <w:p>
      <w:pPr>
        <w:pStyle w:val="Compact"/>
        <w:numPr>
          <w:ilvl w:val="0"/>
          <w:numId w:val="1018"/>
        </w:numPr>
      </w:pPr>
      <w:r>
        <w:t xml:space="preserve">reasoning summary;</w:t>
      </w:r>
    </w:p>
    <w:p>
      <w:pPr>
        <w:pStyle w:val="Compact"/>
        <w:numPr>
          <w:ilvl w:val="0"/>
          <w:numId w:val="1018"/>
        </w:numPr>
      </w:pPr>
      <w:r>
        <w:t xml:space="preserve">contradiction state;</w:t>
      </w:r>
    </w:p>
    <w:p>
      <w:pPr>
        <w:pStyle w:val="Compact"/>
        <w:numPr>
          <w:ilvl w:val="0"/>
          <w:numId w:val="1018"/>
        </w:numPr>
      </w:pPr>
      <w:r>
        <w:t xml:space="preserve">status;</w:t>
      </w:r>
    </w:p>
    <w:p>
      <w:pPr>
        <w:pStyle w:val="Compact"/>
        <w:numPr>
          <w:ilvl w:val="0"/>
          <w:numId w:val="1018"/>
        </w:numPr>
      </w:pPr>
      <w:r>
        <w:t xml:space="preserve">next validation action.</w:t>
      </w:r>
    </w:p>
    <w:p>
      <w:pPr>
        <w:pStyle w:val="FirstParagraph"/>
      </w:pPr>
      <w:r>
        <w:t xml:space="preserve">The following truth classes MUST remain distinct:</w:t>
      </w:r>
    </w:p>
    <w:p>
      <w:pPr>
        <w:pStyle w:val="Compact"/>
        <w:numPr>
          <w:ilvl w:val="0"/>
          <w:numId w:val="1019"/>
        </w:numPr>
      </w:pPr>
      <w:r>
        <w:t xml:space="preserve">Reported fact</w:t>
      </w:r>
    </w:p>
    <w:p>
      <w:pPr>
        <w:pStyle w:val="Compact"/>
        <w:numPr>
          <w:ilvl w:val="0"/>
          <w:numId w:val="1019"/>
        </w:numPr>
      </w:pPr>
      <w:r>
        <w:t xml:space="preserve">Calculated fact</w:t>
      </w:r>
    </w:p>
    <w:p>
      <w:pPr>
        <w:pStyle w:val="Compact"/>
        <w:numPr>
          <w:ilvl w:val="0"/>
          <w:numId w:val="1019"/>
        </w:numPr>
      </w:pPr>
      <w:r>
        <w:t xml:space="preserve">Corroborated inference</w:t>
      </w:r>
    </w:p>
    <w:p>
      <w:pPr>
        <w:pStyle w:val="Compact"/>
        <w:numPr>
          <w:ilvl w:val="0"/>
          <w:numId w:val="1019"/>
        </w:numPr>
      </w:pPr>
      <w:r>
        <w:t xml:space="preserve">Single-source inference</w:t>
      </w:r>
    </w:p>
    <w:p>
      <w:pPr>
        <w:pStyle w:val="Compact"/>
        <w:numPr>
          <w:ilvl w:val="0"/>
          <w:numId w:val="1019"/>
        </w:numPr>
      </w:pPr>
      <w:r>
        <w:t xml:space="preserve">Human-supplied knowledge</w:t>
      </w:r>
    </w:p>
    <w:p>
      <w:pPr>
        <w:pStyle w:val="Compact"/>
        <w:numPr>
          <w:ilvl w:val="0"/>
          <w:numId w:val="1019"/>
        </w:numPr>
      </w:pPr>
      <w:r>
        <w:t xml:space="preserve">Signal</w:t>
      </w:r>
    </w:p>
    <w:p>
      <w:pPr>
        <w:pStyle w:val="Compact"/>
        <w:numPr>
          <w:ilvl w:val="0"/>
          <w:numId w:val="1019"/>
        </w:numPr>
      </w:pPr>
      <w:r>
        <w:t xml:space="preserve">Hypothesis</w:t>
      </w:r>
    </w:p>
    <w:p>
      <w:pPr>
        <w:pStyle w:val="Compact"/>
        <w:numPr>
          <w:ilvl w:val="0"/>
          <w:numId w:val="1019"/>
        </w:numPr>
      </w:pPr>
      <w:r>
        <w:t xml:space="preserve">Unknown</w:t>
      </w:r>
    </w:p>
    <w:p>
      <w:pPr>
        <w:pStyle w:val="Compact"/>
        <w:numPr>
          <w:ilvl w:val="0"/>
          <w:numId w:val="1019"/>
        </w:numPr>
      </w:pPr>
      <w:r>
        <w:t xml:space="preserve">Contradiction</w:t>
      </w:r>
    </w:p>
    <w:p>
      <w:pPr>
        <w:pStyle w:val="Compact"/>
        <w:numPr>
          <w:ilvl w:val="0"/>
          <w:numId w:val="1019"/>
        </w:numPr>
      </w:pPr>
      <w:r>
        <w:t xml:space="preserve">Forecast</w:t>
      </w:r>
    </w:p>
    <w:p>
      <w:pPr>
        <w:pStyle w:val="Compact"/>
        <w:numPr>
          <w:ilvl w:val="0"/>
          <w:numId w:val="1019"/>
        </w:numPr>
      </w:pPr>
      <w:r>
        <w:t xml:space="preserve">Recommendation</w:t>
      </w:r>
    </w:p>
    <w:p>
      <w:pPr>
        <w:pStyle w:val="FirstParagraph"/>
      </w:pPr>
      <w:r>
        <w:t xml:space="preserve">Inference MUST NOT be rewritten as fact during synthesis.</w:t>
      </w:r>
    </w:p>
    <w:p>
      <w:r>
        <w:pict>
          <v:rect style="width:0;height:1.5pt" o:hralign="center" o:hrstd="t" o:hr="t"/>
        </w:pict>
      </w:r>
    </w:p>
    <w:bookmarkEnd w:id="42"/>
    <w:bookmarkStart w:id="47" w:name="confidence-and-corroboration-standard"/>
    <w:p>
      <w:pPr>
        <w:pStyle w:val="Heading2"/>
      </w:pPr>
      <w:r>
        <w:t xml:space="preserve">9. Confidence and corroboration standard</w:t>
      </w:r>
    </w:p>
    <w:p>
      <w:pPr>
        <w:pStyle w:val="FirstParagraph"/>
      </w:pPr>
      <w:r>
        <w:t xml:space="preserve">The plan MUST define how confidence is assigned.</w:t>
      </w:r>
    </w:p>
    <w:bookmarkStart w:id="43" w:name="high-confidence"/>
    <w:p>
      <w:pPr>
        <w:pStyle w:val="Heading3"/>
      </w:pPr>
      <w:r>
        <w:t xml:space="preserve">9.1 High confidence</w:t>
      </w:r>
    </w:p>
    <w:p>
      <w:pPr>
        <w:pStyle w:val="FirstParagraph"/>
      </w:pPr>
      <w:r>
        <w:t xml:space="preserve">High confidence normally requires:</w:t>
      </w:r>
    </w:p>
    <w:p>
      <w:pPr>
        <w:pStyle w:val="Compact"/>
        <w:numPr>
          <w:ilvl w:val="0"/>
          <w:numId w:val="1020"/>
        </w:numPr>
      </w:pPr>
      <w:r>
        <w:t xml:space="preserve">authoritative evidence;</w:t>
      </w:r>
    </w:p>
    <w:p>
      <w:pPr>
        <w:pStyle w:val="Compact"/>
        <w:numPr>
          <w:ilvl w:val="0"/>
          <w:numId w:val="1020"/>
        </w:numPr>
      </w:pPr>
      <w:r>
        <w:t xml:space="preserve">clear scope and accounting basis;</w:t>
      </w:r>
    </w:p>
    <w:p>
      <w:pPr>
        <w:pStyle w:val="Compact"/>
        <w:numPr>
          <w:ilvl w:val="0"/>
          <w:numId w:val="1020"/>
        </w:numPr>
      </w:pPr>
      <w:r>
        <w:t xml:space="preserve">current or sufficiently fresh information;</w:t>
      </w:r>
    </w:p>
    <w:p>
      <w:pPr>
        <w:pStyle w:val="Compact"/>
        <w:numPr>
          <w:ilvl w:val="0"/>
          <w:numId w:val="1020"/>
        </w:numPr>
      </w:pPr>
      <w:r>
        <w:t xml:space="preserve">independent corroboration where interpretation is involved;</w:t>
      </w:r>
    </w:p>
    <w:p>
      <w:pPr>
        <w:pStyle w:val="Compact"/>
        <w:numPr>
          <w:ilvl w:val="0"/>
          <w:numId w:val="1020"/>
        </w:numPr>
      </w:pPr>
      <w:r>
        <w:t xml:space="preserve">no unresolved material contradiction.</w:t>
      </w:r>
    </w:p>
    <w:bookmarkEnd w:id="43"/>
    <w:bookmarkStart w:id="44" w:name="medium-confidence"/>
    <w:p>
      <w:pPr>
        <w:pStyle w:val="Heading3"/>
      </w:pPr>
      <w:r>
        <w:t xml:space="preserve">9.2 Medium confidence</w:t>
      </w:r>
    </w:p>
    <w:p>
      <w:pPr>
        <w:pStyle w:val="FirstParagraph"/>
      </w:pPr>
      <w:r>
        <w:t xml:space="preserve">Medium confidence may apply where:</w:t>
      </w:r>
    </w:p>
    <w:p>
      <w:pPr>
        <w:pStyle w:val="Compact"/>
        <w:numPr>
          <w:ilvl w:val="0"/>
          <w:numId w:val="1021"/>
        </w:numPr>
      </w:pPr>
      <w:r>
        <w:t xml:space="preserve">evidence is credible but incomplete;</w:t>
      </w:r>
    </w:p>
    <w:p>
      <w:pPr>
        <w:pStyle w:val="Compact"/>
        <w:numPr>
          <w:ilvl w:val="0"/>
          <w:numId w:val="1021"/>
        </w:numPr>
      </w:pPr>
      <w:r>
        <w:t xml:space="preserve">the finding is partly inferred;</w:t>
      </w:r>
    </w:p>
    <w:p>
      <w:pPr>
        <w:pStyle w:val="Compact"/>
        <w:numPr>
          <w:ilvl w:val="0"/>
          <w:numId w:val="1021"/>
        </w:numPr>
      </w:pPr>
      <w:r>
        <w:t xml:space="preserve">one material dependency remains Unknown;</w:t>
      </w:r>
    </w:p>
    <w:p>
      <w:pPr>
        <w:pStyle w:val="Compact"/>
        <w:numPr>
          <w:ilvl w:val="0"/>
          <w:numId w:val="1021"/>
        </w:numPr>
      </w:pPr>
      <w:r>
        <w:t xml:space="preserve">evidence is current but not independently corroborated;</w:t>
      </w:r>
    </w:p>
    <w:p>
      <w:pPr>
        <w:pStyle w:val="Compact"/>
        <w:numPr>
          <w:ilvl w:val="0"/>
          <w:numId w:val="1021"/>
        </w:numPr>
      </w:pPr>
      <w:r>
        <w:t xml:space="preserve">contrary evidence exists but does not overturn the finding.</w:t>
      </w:r>
    </w:p>
    <w:bookmarkEnd w:id="44"/>
    <w:bookmarkStart w:id="45" w:name="low-confidence"/>
    <w:p>
      <w:pPr>
        <w:pStyle w:val="Heading3"/>
      </w:pPr>
      <w:r>
        <w:t xml:space="preserve">9.3 Low confidence</w:t>
      </w:r>
    </w:p>
    <w:p>
      <w:pPr>
        <w:pStyle w:val="FirstParagraph"/>
      </w:pPr>
      <w:r>
        <w:t xml:space="preserve">Low confidence applies where:</w:t>
      </w:r>
    </w:p>
    <w:p>
      <w:pPr>
        <w:pStyle w:val="Compact"/>
        <w:numPr>
          <w:ilvl w:val="0"/>
          <w:numId w:val="1022"/>
        </w:numPr>
      </w:pPr>
      <w:r>
        <w:t xml:space="preserve">evidence is single-source or indirect;</w:t>
      </w:r>
    </w:p>
    <w:p>
      <w:pPr>
        <w:pStyle w:val="Compact"/>
        <w:numPr>
          <w:ilvl w:val="0"/>
          <w:numId w:val="1022"/>
        </w:numPr>
      </w:pPr>
      <w:r>
        <w:t xml:space="preserve">scope is unclear;</w:t>
      </w:r>
    </w:p>
    <w:p>
      <w:pPr>
        <w:pStyle w:val="Compact"/>
        <w:numPr>
          <w:ilvl w:val="0"/>
          <w:numId w:val="1022"/>
        </w:numPr>
      </w:pPr>
      <w:r>
        <w:t xml:space="preserve">evidence is stale;</w:t>
      </w:r>
    </w:p>
    <w:p>
      <w:pPr>
        <w:pStyle w:val="Compact"/>
        <w:numPr>
          <w:ilvl w:val="0"/>
          <w:numId w:val="1022"/>
        </w:numPr>
      </w:pPr>
      <w:r>
        <w:t xml:space="preserve">the conclusion depends on unverified assumptions;</w:t>
      </w:r>
    </w:p>
    <w:p>
      <w:pPr>
        <w:pStyle w:val="Compact"/>
        <w:numPr>
          <w:ilvl w:val="0"/>
          <w:numId w:val="1022"/>
        </w:numPr>
      </w:pPr>
      <w:r>
        <w:t xml:space="preserve">contradictory evidence is material;</w:t>
      </w:r>
    </w:p>
    <w:p>
      <w:pPr>
        <w:pStyle w:val="Compact"/>
        <w:numPr>
          <w:ilvl w:val="0"/>
          <w:numId w:val="1022"/>
        </w:numPr>
      </w:pPr>
      <w:r>
        <w:t xml:space="preserve">the operating mechanism has not been established.</w:t>
      </w:r>
    </w:p>
    <w:p>
      <w:pPr>
        <w:pStyle w:val="FirstParagraph"/>
      </w:pPr>
      <w:r>
        <w:t xml:space="preserve">Low-confidence material MUST NOT independently support a strong Recommendation.</w:t>
      </w:r>
    </w:p>
    <w:bookmarkEnd w:id="45"/>
    <w:bookmarkStart w:id="46" w:name="confidence-decisions"/>
    <w:p>
      <w:pPr>
        <w:pStyle w:val="Heading3"/>
      </w:pPr>
      <w:r>
        <w:t xml:space="preserve">9.4 Confidence decisions</w:t>
      </w:r>
    </w:p>
    <w:p>
      <w:pPr>
        <w:pStyle w:val="FirstParagraph"/>
      </w:pPr>
      <w:r>
        <w:t xml:space="preserve">The research record MUST state why a confidence level was assigned.</w:t>
      </w:r>
    </w:p>
    <w:p>
      <w:pPr>
        <w:pStyle w:val="BodyText"/>
      </w:pPr>
      <w:r>
        <w:t xml:space="preserve">Confidence MUST NOT be based on writing fluency, source count alone or model certainty.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execution-phases"/>
    <w:p>
      <w:pPr>
        <w:pStyle w:val="Heading2"/>
      </w:pPr>
      <w:r>
        <w:t xml:space="preserve">10. Execution phases</w:t>
      </w:r>
    </w:p>
    <w:p>
      <w:pPr>
        <w:pStyle w:val="FirstParagraph"/>
      </w:pPr>
      <w:r>
        <w:t xml:space="preserve">A compliant research plan MUST contain the following execution phases.</w:t>
      </w:r>
    </w:p>
    <w:p>
      <w:pPr>
        <w:pStyle w:val="BodyText"/>
      </w:pPr>
      <w:r>
        <w:t xml:space="preserve">Phases MAY overlap, but their outputs and exit conditions MUST remain distinct.</w:t>
      </w:r>
    </w:p>
    <w:bookmarkEnd w:id="48"/>
    <w:bookmarkEnd w:id="49"/>
    <w:bookmarkStart w:id="54" w:name="phase-0-plan-authorisation"/>
    <w:p>
      <w:pPr>
        <w:pStyle w:val="Heading1"/>
      </w:pPr>
      <w:r>
        <w:t xml:space="preserve">Phase 0 — Plan authorisation</w:t>
      </w:r>
    </w:p>
    <w:bookmarkStart w:id="50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Create and approve the enterprise-specific plan before substantive research begins.</w:t>
      </w:r>
    </w:p>
    <w:bookmarkEnd w:id="50"/>
    <w:bookmarkStart w:id="51" w:name="required-work"/>
    <w:p>
      <w:pPr>
        <w:pStyle w:val="Heading2"/>
      </w:pPr>
      <w:r>
        <w:t xml:space="preserve">Required work</w:t>
      </w:r>
    </w:p>
    <w:p>
      <w:pPr>
        <w:pStyle w:val="Compact"/>
        <w:numPr>
          <w:ilvl w:val="0"/>
          <w:numId w:val="1023"/>
        </w:numPr>
      </w:pPr>
      <w:r>
        <w:t xml:space="preserve">define the enterprise and research purpose;</w:t>
      </w:r>
    </w:p>
    <w:p>
      <w:pPr>
        <w:pStyle w:val="Compact"/>
        <w:numPr>
          <w:ilvl w:val="0"/>
          <w:numId w:val="1023"/>
        </w:numPr>
      </w:pPr>
      <w:r>
        <w:t xml:space="preserve">establish the modelling boundary;</w:t>
      </w:r>
    </w:p>
    <w:p>
      <w:pPr>
        <w:pStyle w:val="Compact"/>
        <w:numPr>
          <w:ilvl w:val="0"/>
          <w:numId w:val="1023"/>
        </w:numPr>
      </w:pPr>
      <w:r>
        <w:t xml:space="preserve">identify the forecast target;</w:t>
      </w:r>
    </w:p>
    <w:p>
      <w:pPr>
        <w:pStyle w:val="Compact"/>
        <w:numPr>
          <w:ilvl w:val="0"/>
          <w:numId w:val="1023"/>
        </w:numPr>
      </w:pPr>
      <w:r>
        <w:t xml:space="preserve">define materiality;</w:t>
      </w:r>
    </w:p>
    <w:p>
      <w:pPr>
        <w:pStyle w:val="Compact"/>
        <w:numPr>
          <w:ilvl w:val="0"/>
          <w:numId w:val="1023"/>
        </w:numPr>
      </w:pPr>
      <w:r>
        <w:t xml:space="preserve">establish initial business units;</w:t>
      </w:r>
    </w:p>
    <w:p>
      <w:pPr>
        <w:pStyle w:val="Compact"/>
        <w:numPr>
          <w:ilvl w:val="0"/>
          <w:numId w:val="1023"/>
        </w:numPr>
      </w:pPr>
      <w:r>
        <w:t xml:space="preserve">create the research-question register;</w:t>
      </w:r>
    </w:p>
    <w:p>
      <w:pPr>
        <w:pStyle w:val="Compact"/>
        <w:numPr>
          <w:ilvl w:val="0"/>
          <w:numId w:val="1023"/>
        </w:numPr>
      </w:pPr>
      <w:r>
        <w:t xml:space="preserve">create the source-family plan;</w:t>
      </w:r>
    </w:p>
    <w:p>
      <w:pPr>
        <w:pStyle w:val="Compact"/>
        <w:numPr>
          <w:ilvl w:val="0"/>
          <w:numId w:val="1023"/>
        </w:numPr>
      </w:pPr>
      <w:r>
        <w:t xml:space="preserve">create the artefact register;</w:t>
      </w:r>
    </w:p>
    <w:p>
      <w:pPr>
        <w:pStyle w:val="Compact"/>
        <w:numPr>
          <w:ilvl w:val="0"/>
          <w:numId w:val="1023"/>
        </w:numPr>
      </w:pPr>
      <w:r>
        <w:t xml:space="preserve">establish confidence and completion rules;</w:t>
      </w:r>
    </w:p>
    <w:p>
      <w:pPr>
        <w:pStyle w:val="Compact"/>
        <w:numPr>
          <w:ilvl w:val="0"/>
          <w:numId w:val="1023"/>
        </w:numPr>
      </w:pPr>
      <w:r>
        <w:t xml:space="preserve">record human-supplied context;</w:t>
      </w:r>
    </w:p>
    <w:p>
      <w:pPr>
        <w:pStyle w:val="Compact"/>
        <w:numPr>
          <w:ilvl w:val="0"/>
          <w:numId w:val="1023"/>
        </w:numPr>
      </w:pPr>
      <w:r>
        <w:t xml:space="preserve">identify known risks and constraints.</w:t>
      </w:r>
    </w:p>
    <w:bookmarkEnd w:id="51"/>
    <w:bookmarkStart w:id="52" w:name="mandatory-outputs"/>
    <w:p>
      <w:pPr>
        <w:pStyle w:val="Heading2"/>
      </w:pPr>
      <w:r>
        <w:t xml:space="preserve">Mandatory outputs</w:t>
      </w:r>
    </w:p>
    <w:p>
      <w:pPr>
        <w:pStyle w:val="Compact"/>
        <w:numPr>
          <w:ilvl w:val="0"/>
          <w:numId w:val="1024"/>
        </w:numPr>
      </w:pPr>
      <w:r>
        <w:t xml:space="preserve">approved research plan;</w:t>
      </w:r>
    </w:p>
    <w:p>
      <w:pPr>
        <w:pStyle w:val="Compact"/>
        <w:numPr>
          <w:ilvl w:val="0"/>
          <w:numId w:val="1024"/>
        </w:numPr>
      </w:pPr>
      <w:r>
        <w:t xml:space="preserve">Twin identity record;</w:t>
      </w:r>
    </w:p>
    <w:p>
      <w:pPr>
        <w:pStyle w:val="Compact"/>
        <w:numPr>
          <w:ilvl w:val="0"/>
          <w:numId w:val="1024"/>
        </w:numPr>
      </w:pPr>
      <w:r>
        <w:t xml:space="preserve">question register;</w:t>
      </w:r>
    </w:p>
    <w:p>
      <w:pPr>
        <w:pStyle w:val="Compact"/>
        <w:numPr>
          <w:ilvl w:val="0"/>
          <w:numId w:val="1024"/>
        </w:numPr>
      </w:pPr>
      <w:r>
        <w:t xml:space="preserve">source plan;</w:t>
      </w:r>
    </w:p>
    <w:p>
      <w:pPr>
        <w:pStyle w:val="Compact"/>
        <w:numPr>
          <w:ilvl w:val="0"/>
          <w:numId w:val="1024"/>
        </w:numPr>
      </w:pPr>
      <w:r>
        <w:t xml:space="preserve">initial artefact register;</w:t>
      </w:r>
    </w:p>
    <w:p>
      <w:pPr>
        <w:pStyle w:val="Compact"/>
        <w:numPr>
          <w:ilvl w:val="0"/>
          <w:numId w:val="1024"/>
        </w:numPr>
      </w:pPr>
      <w:r>
        <w:t xml:space="preserve">initial Unknown register;</w:t>
      </w:r>
    </w:p>
    <w:p>
      <w:pPr>
        <w:pStyle w:val="Compact"/>
        <w:numPr>
          <w:ilvl w:val="0"/>
          <w:numId w:val="1024"/>
        </w:numPr>
      </w:pPr>
      <w:r>
        <w:t xml:space="preserve">version record.</w:t>
      </w:r>
    </w:p>
    <w:bookmarkEnd w:id="52"/>
    <w:bookmarkStart w:id="53" w:name="exit-criteria"/>
    <w:p>
      <w:pPr>
        <w:pStyle w:val="Heading2"/>
      </w:pPr>
      <w:r>
        <w:t xml:space="preserve">Exit criteria</w:t>
      </w:r>
    </w:p>
    <w:p>
      <w:pPr>
        <w:pStyle w:val="FirstParagraph"/>
      </w:pPr>
      <w:r>
        <w:t xml:space="preserve">Phase 0 is complete only when:</w:t>
      </w:r>
    </w:p>
    <w:p>
      <w:pPr>
        <w:pStyle w:val="Compact"/>
        <w:numPr>
          <w:ilvl w:val="0"/>
          <w:numId w:val="1025"/>
        </w:numPr>
      </w:pPr>
      <w:r>
        <w:t xml:space="preserve">scope is explicit;</w:t>
      </w:r>
    </w:p>
    <w:p>
      <w:pPr>
        <w:pStyle w:val="Compact"/>
        <w:numPr>
          <w:ilvl w:val="0"/>
          <w:numId w:val="1025"/>
        </w:numPr>
      </w:pPr>
      <w:r>
        <w:t xml:space="preserve">the source cut-off is explicit;</w:t>
      </w:r>
    </w:p>
    <w:p>
      <w:pPr>
        <w:pStyle w:val="Compact"/>
        <w:numPr>
          <w:ilvl w:val="0"/>
          <w:numId w:val="1025"/>
        </w:numPr>
      </w:pPr>
      <w:r>
        <w:t xml:space="preserve">the forecast target is fixed;</w:t>
      </w:r>
    </w:p>
    <w:p>
      <w:pPr>
        <w:pStyle w:val="Compact"/>
        <w:numPr>
          <w:ilvl w:val="0"/>
          <w:numId w:val="1025"/>
        </w:numPr>
      </w:pPr>
      <w:r>
        <w:t xml:space="preserve">the reviewer is identified;</w:t>
      </w:r>
    </w:p>
    <w:p>
      <w:pPr>
        <w:pStyle w:val="Compact"/>
        <w:numPr>
          <w:ilvl w:val="0"/>
          <w:numId w:val="1025"/>
        </w:numPr>
      </w:pPr>
      <w:r>
        <w:t xml:space="preserve">mandatory artefacts are assigned;</w:t>
      </w:r>
    </w:p>
    <w:p>
      <w:pPr>
        <w:pStyle w:val="Compact"/>
        <w:numPr>
          <w:ilvl w:val="0"/>
          <w:numId w:val="1025"/>
        </w:numPr>
      </w:pPr>
      <w:r>
        <w:t xml:space="preserve">known assumptions are visible;</w:t>
      </w:r>
    </w:p>
    <w:p>
      <w:pPr>
        <w:pStyle w:val="Compact"/>
        <w:numPr>
          <w:ilvl w:val="0"/>
          <w:numId w:val="1025"/>
        </w:numPr>
      </w:pPr>
      <w:r>
        <w:t xml:space="preserve">research has been authorised.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phase-1-enterprise-identity-and-boundary"/>
    <w:p>
      <w:pPr>
        <w:pStyle w:val="Heading1"/>
      </w:pPr>
      <w:r>
        <w:t xml:space="preserve">Phase 1 — Enterprise identity and boundary</w:t>
      </w:r>
    </w:p>
    <w:bookmarkStart w:id="55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Establish the legal, operating and reporting structure of the enterprise.</w:t>
      </w:r>
    </w:p>
    <w:bookmarkEnd w:id="55"/>
    <w:bookmarkStart w:id="56" w:name="required-work-1"/>
    <w:p>
      <w:pPr>
        <w:pStyle w:val="Heading2"/>
      </w:pPr>
      <w:r>
        <w:t xml:space="preserve">Required work</w:t>
      </w:r>
    </w:p>
    <w:p>
      <w:pPr>
        <w:pStyle w:val="Compact"/>
        <w:numPr>
          <w:ilvl w:val="0"/>
          <w:numId w:val="1026"/>
        </w:numPr>
      </w:pPr>
      <w:r>
        <w:t xml:space="preserve">map the parent and controlled entities;</w:t>
      </w:r>
    </w:p>
    <w:p>
      <w:pPr>
        <w:pStyle w:val="Compact"/>
        <w:numPr>
          <w:ilvl w:val="0"/>
          <w:numId w:val="1026"/>
        </w:numPr>
      </w:pPr>
      <w:r>
        <w:t xml:space="preserve">identify material subsidiaries and joint ventures;</w:t>
      </w:r>
    </w:p>
    <w:p>
      <w:pPr>
        <w:pStyle w:val="Compact"/>
        <w:numPr>
          <w:ilvl w:val="0"/>
          <w:numId w:val="1026"/>
        </w:numPr>
      </w:pPr>
      <w:r>
        <w:t xml:space="preserve">establish reported segments and operating business units;</w:t>
      </w:r>
    </w:p>
    <w:p>
      <w:pPr>
        <w:pStyle w:val="Compact"/>
        <w:numPr>
          <w:ilvl w:val="0"/>
          <w:numId w:val="1026"/>
        </w:numPr>
      </w:pPr>
      <w:r>
        <w:t xml:space="preserve">identify central and shared functions;</w:t>
      </w:r>
    </w:p>
    <w:p>
      <w:pPr>
        <w:pStyle w:val="Compact"/>
        <w:numPr>
          <w:ilvl w:val="0"/>
          <w:numId w:val="1026"/>
        </w:numPr>
      </w:pPr>
      <w:r>
        <w:t xml:space="preserve">define geographic exposure;</w:t>
      </w:r>
    </w:p>
    <w:p>
      <w:pPr>
        <w:pStyle w:val="Compact"/>
        <w:numPr>
          <w:ilvl w:val="0"/>
          <w:numId w:val="1026"/>
        </w:numPr>
      </w:pPr>
      <w:r>
        <w:t xml:space="preserve">identify discontinued or held-for-sale activities;</w:t>
      </w:r>
    </w:p>
    <w:p>
      <w:pPr>
        <w:pStyle w:val="Compact"/>
        <w:numPr>
          <w:ilvl w:val="0"/>
          <w:numId w:val="1026"/>
        </w:numPr>
      </w:pPr>
      <w:r>
        <w:t xml:space="preserve">reconcile legal and management reporting boundaries.</w:t>
      </w:r>
    </w:p>
    <w:bookmarkEnd w:id="56"/>
    <w:bookmarkStart w:id="57" w:name="mandatory-outputs-1"/>
    <w:p>
      <w:pPr>
        <w:pStyle w:val="Heading2"/>
      </w:pPr>
      <w:r>
        <w:t xml:space="preserve">Mandatory outputs</w:t>
      </w:r>
    </w:p>
    <w:p>
      <w:pPr>
        <w:pStyle w:val="Compact"/>
        <w:numPr>
          <w:ilvl w:val="0"/>
          <w:numId w:val="1027"/>
        </w:numPr>
      </w:pPr>
      <w:r>
        <w:t xml:space="preserve">enterprise boundary map;</w:t>
      </w:r>
    </w:p>
    <w:p>
      <w:pPr>
        <w:pStyle w:val="Compact"/>
        <w:numPr>
          <w:ilvl w:val="0"/>
          <w:numId w:val="1027"/>
        </w:numPr>
      </w:pPr>
      <w:r>
        <w:t xml:space="preserve">legal structure map;</w:t>
      </w:r>
    </w:p>
    <w:p>
      <w:pPr>
        <w:pStyle w:val="Compact"/>
        <w:numPr>
          <w:ilvl w:val="0"/>
          <w:numId w:val="1027"/>
        </w:numPr>
      </w:pPr>
      <w:r>
        <w:t xml:space="preserve">operating structure map;</w:t>
      </w:r>
    </w:p>
    <w:p>
      <w:pPr>
        <w:pStyle w:val="Compact"/>
        <w:numPr>
          <w:ilvl w:val="0"/>
          <w:numId w:val="1027"/>
        </w:numPr>
      </w:pPr>
      <w:r>
        <w:t xml:space="preserve">initial business-unit list;</w:t>
      </w:r>
    </w:p>
    <w:p>
      <w:pPr>
        <w:pStyle w:val="Compact"/>
        <w:numPr>
          <w:ilvl w:val="0"/>
          <w:numId w:val="1027"/>
        </w:numPr>
      </w:pPr>
      <w:r>
        <w:t xml:space="preserve">scope reconciliation;</w:t>
      </w:r>
    </w:p>
    <w:p>
      <w:pPr>
        <w:pStyle w:val="Compact"/>
        <w:numPr>
          <w:ilvl w:val="0"/>
          <w:numId w:val="1027"/>
        </w:numPr>
      </w:pPr>
      <w:r>
        <w:t xml:space="preserve">boundary Unknowns.</w:t>
      </w:r>
    </w:p>
    <w:bookmarkEnd w:id="57"/>
    <w:bookmarkStart w:id="58" w:name="exit-criteria-1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28"/>
        </w:numPr>
      </w:pPr>
      <w:r>
        <w:t xml:space="preserve">material legal and operating entities are identified;</w:t>
      </w:r>
    </w:p>
    <w:p>
      <w:pPr>
        <w:pStyle w:val="Compact"/>
        <w:numPr>
          <w:ilvl w:val="0"/>
          <w:numId w:val="1028"/>
        </w:numPr>
      </w:pPr>
      <w:r>
        <w:t xml:space="preserve">reporting and operating boundaries are reconciled or marked contradictory;</w:t>
      </w:r>
    </w:p>
    <w:p>
      <w:pPr>
        <w:pStyle w:val="Compact"/>
        <w:numPr>
          <w:ilvl w:val="0"/>
          <w:numId w:val="1028"/>
        </w:numPr>
      </w:pPr>
      <w:r>
        <w:t xml:space="preserve">exclusions are documented;</w:t>
      </w:r>
    </w:p>
    <w:p>
      <w:pPr>
        <w:pStyle w:val="Compact"/>
        <w:numPr>
          <w:ilvl w:val="0"/>
          <w:numId w:val="1028"/>
        </w:numPr>
      </w:pPr>
      <w:r>
        <w:t xml:space="preserve">business units requiring anatomy cards are nominated.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Xbb7e09fd8bf12176aaa610baf11b106cc8f5f9c"/>
    <w:p>
      <w:pPr>
        <w:pStyle w:val="Heading1"/>
      </w:pPr>
      <w:r>
        <w:t xml:space="preserve">Phase 2 — Ownership, governance and influence</w:t>
      </w:r>
    </w:p>
    <w:bookmarkStart w:id="60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Determine who and what shapes enterprise decisions.</w:t>
      </w:r>
    </w:p>
    <w:bookmarkEnd w:id="60"/>
    <w:bookmarkStart w:id="61" w:name="required-work-2"/>
    <w:p>
      <w:pPr>
        <w:pStyle w:val="Heading2"/>
      </w:pPr>
      <w:r>
        <w:t xml:space="preserve">Required work</w:t>
      </w:r>
    </w:p>
    <w:p>
      <w:pPr>
        <w:pStyle w:val="FirstParagraph"/>
      </w:pPr>
      <w:r>
        <w:t xml:space="preserve">Research:</w:t>
      </w:r>
    </w:p>
    <w:p>
      <w:pPr>
        <w:pStyle w:val="Compact"/>
        <w:numPr>
          <w:ilvl w:val="0"/>
          <w:numId w:val="1029"/>
        </w:numPr>
      </w:pPr>
      <w:r>
        <w:t xml:space="preserve">major shareholders;</w:t>
      </w:r>
    </w:p>
    <w:p>
      <w:pPr>
        <w:pStyle w:val="Compact"/>
        <w:numPr>
          <w:ilvl w:val="0"/>
          <w:numId w:val="1029"/>
        </w:numPr>
      </w:pPr>
      <w:r>
        <w:t xml:space="preserve">state or government interests;</w:t>
      </w:r>
    </w:p>
    <w:p>
      <w:pPr>
        <w:pStyle w:val="Compact"/>
        <w:numPr>
          <w:ilvl w:val="0"/>
          <w:numId w:val="1029"/>
        </w:numPr>
      </w:pPr>
      <w:r>
        <w:t xml:space="preserve">board and committee structure;</w:t>
      </w:r>
    </w:p>
    <w:p>
      <w:pPr>
        <w:pStyle w:val="Compact"/>
        <w:numPr>
          <w:ilvl w:val="0"/>
          <w:numId w:val="1029"/>
        </w:numPr>
      </w:pPr>
      <w:r>
        <w:t xml:space="preserve">executive incentives;</w:t>
      </w:r>
    </w:p>
    <w:p>
      <w:pPr>
        <w:pStyle w:val="Compact"/>
        <w:numPr>
          <w:ilvl w:val="0"/>
          <w:numId w:val="1029"/>
        </w:numPr>
      </w:pPr>
      <w:r>
        <w:t xml:space="preserve">lenders and rating agencies;</w:t>
      </w:r>
    </w:p>
    <w:p>
      <w:pPr>
        <w:pStyle w:val="Compact"/>
        <w:numPr>
          <w:ilvl w:val="0"/>
          <w:numId w:val="1029"/>
        </w:numPr>
      </w:pPr>
      <w:r>
        <w:t xml:space="preserve">pension obligations;</w:t>
      </w:r>
    </w:p>
    <w:p>
      <w:pPr>
        <w:pStyle w:val="Compact"/>
        <w:numPr>
          <w:ilvl w:val="0"/>
          <w:numId w:val="1029"/>
        </w:numPr>
      </w:pPr>
      <w:r>
        <w:t xml:space="preserve">regulators;</w:t>
      </w:r>
    </w:p>
    <w:p>
      <w:pPr>
        <w:pStyle w:val="Compact"/>
        <w:numPr>
          <w:ilvl w:val="0"/>
          <w:numId w:val="1029"/>
        </w:numPr>
      </w:pPr>
      <w:r>
        <w:t xml:space="preserve">unions;</w:t>
      </w:r>
    </w:p>
    <w:p>
      <w:pPr>
        <w:pStyle w:val="Compact"/>
        <w:numPr>
          <w:ilvl w:val="0"/>
          <w:numId w:val="1029"/>
        </w:numPr>
      </w:pPr>
      <w:r>
        <w:t xml:space="preserve">major customers;</w:t>
      </w:r>
    </w:p>
    <w:p>
      <w:pPr>
        <w:pStyle w:val="Compact"/>
        <w:numPr>
          <w:ilvl w:val="0"/>
          <w:numId w:val="1029"/>
        </w:numPr>
      </w:pPr>
      <w:r>
        <w:t xml:space="preserve">strategic suppliers;</w:t>
      </w:r>
    </w:p>
    <w:p>
      <w:pPr>
        <w:pStyle w:val="Compact"/>
        <w:numPr>
          <w:ilvl w:val="0"/>
          <w:numId w:val="1029"/>
        </w:numPr>
      </w:pPr>
      <w:r>
        <w:t xml:space="preserve">joint-venture partners;</w:t>
      </w:r>
    </w:p>
    <w:p>
      <w:pPr>
        <w:pStyle w:val="Compact"/>
        <w:numPr>
          <w:ilvl w:val="0"/>
          <w:numId w:val="1029"/>
        </w:numPr>
      </w:pPr>
      <w:r>
        <w:t xml:space="preserve">political and reputational pressure.</w:t>
      </w:r>
    </w:p>
    <w:p>
      <w:pPr>
        <w:pStyle w:val="FirstParagraph"/>
      </w:pPr>
      <w:r>
        <w:t xml:space="preserve">For every material influence, establish:</w:t>
      </w:r>
    </w:p>
    <w:p>
      <w:pPr>
        <w:pStyle w:val="Compact"/>
        <w:numPr>
          <w:ilvl w:val="0"/>
          <w:numId w:val="1030"/>
        </w:numPr>
      </w:pPr>
      <w:r>
        <w:t xml:space="preserve">actor;</w:t>
      </w:r>
    </w:p>
    <w:p>
      <w:pPr>
        <w:pStyle w:val="Compact"/>
        <w:numPr>
          <w:ilvl w:val="0"/>
          <w:numId w:val="1030"/>
        </w:numPr>
      </w:pPr>
      <w:r>
        <w:t xml:space="preserve">mechanism;</w:t>
      </w:r>
    </w:p>
    <w:p>
      <w:pPr>
        <w:pStyle w:val="Compact"/>
        <w:numPr>
          <w:ilvl w:val="0"/>
          <w:numId w:val="1030"/>
        </w:numPr>
      </w:pPr>
      <w:r>
        <w:t xml:space="preserve">apparent agenda;</w:t>
      </w:r>
    </w:p>
    <w:p>
      <w:pPr>
        <w:pStyle w:val="Compact"/>
        <w:numPr>
          <w:ilvl w:val="0"/>
          <w:numId w:val="1030"/>
        </w:numPr>
      </w:pPr>
      <w:r>
        <w:t xml:space="preserve">decisions affected;</w:t>
      </w:r>
    </w:p>
    <w:p>
      <w:pPr>
        <w:pStyle w:val="Compact"/>
        <w:numPr>
          <w:ilvl w:val="0"/>
          <w:numId w:val="1030"/>
        </w:numPr>
      </w:pPr>
      <w:r>
        <w:t xml:space="preserve">time horizon;</w:t>
      </w:r>
    </w:p>
    <w:p>
      <w:pPr>
        <w:pStyle w:val="Compact"/>
        <w:numPr>
          <w:ilvl w:val="0"/>
          <w:numId w:val="1030"/>
        </w:numPr>
      </w:pPr>
      <w:r>
        <w:t xml:space="preserve">evidence;</w:t>
      </w:r>
    </w:p>
    <w:p>
      <w:pPr>
        <w:pStyle w:val="Compact"/>
        <w:numPr>
          <w:ilvl w:val="0"/>
          <w:numId w:val="1030"/>
        </w:numPr>
      </w:pPr>
      <w:r>
        <w:t xml:space="preserve">alternative explanation;</w:t>
      </w:r>
    </w:p>
    <w:p>
      <w:pPr>
        <w:pStyle w:val="Compact"/>
        <w:numPr>
          <w:ilvl w:val="0"/>
          <w:numId w:val="1030"/>
        </w:numPr>
      </w:pPr>
      <w:r>
        <w:t xml:space="preserve">confidence.</w:t>
      </w:r>
    </w:p>
    <w:bookmarkEnd w:id="61"/>
    <w:bookmarkStart w:id="62" w:name="mandatory-outputs-2"/>
    <w:p>
      <w:pPr>
        <w:pStyle w:val="Heading2"/>
      </w:pPr>
      <w:r>
        <w:t xml:space="preserve">Mandatory outputs</w:t>
      </w:r>
    </w:p>
    <w:p>
      <w:pPr>
        <w:pStyle w:val="Compact"/>
        <w:numPr>
          <w:ilvl w:val="0"/>
          <w:numId w:val="1031"/>
        </w:numPr>
      </w:pPr>
      <w:r>
        <w:t xml:space="preserve">ownership map;</w:t>
      </w:r>
    </w:p>
    <w:p>
      <w:pPr>
        <w:pStyle w:val="Compact"/>
        <w:numPr>
          <w:ilvl w:val="0"/>
          <w:numId w:val="1031"/>
        </w:numPr>
      </w:pPr>
      <w:r>
        <w:t xml:space="preserve">governance and committee map;</w:t>
      </w:r>
    </w:p>
    <w:p>
      <w:pPr>
        <w:pStyle w:val="Compact"/>
        <w:numPr>
          <w:ilvl w:val="0"/>
          <w:numId w:val="1031"/>
        </w:numPr>
      </w:pPr>
      <w:r>
        <w:t xml:space="preserve">influence network;</w:t>
      </w:r>
    </w:p>
    <w:p>
      <w:pPr>
        <w:pStyle w:val="Compact"/>
        <w:numPr>
          <w:ilvl w:val="0"/>
          <w:numId w:val="1031"/>
        </w:numPr>
      </w:pPr>
      <w:r>
        <w:t xml:space="preserve">incentive and agenda map;</w:t>
      </w:r>
    </w:p>
    <w:p>
      <w:pPr>
        <w:pStyle w:val="Compact"/>
        <w:numPr>
          <w:ilvl w:val="0"/>
          <w:numId w:val="1031"/>
        </w:numPr>
      </w:pPr>
      <w:r>
        <w:t xml:space="preserve">external-constraint map;</w:t>
      </w:r>
    </w:p>
    <w:p>
      <w:pPr>
        <w:pStyle w:val="Compact"/>
        <w:numPr>
          <w:ilvl w:val="0"/>
          <w:numId w:val="1031"/>
        </w:numPr>
      </w:pPr>
      <w:r>
        <w:t xml:space="preserve">unresolved influence questions.</w:t>
      </w:r>
    </w:p>
    <w:bookmarkEnd w:id="62"/>
    <w:bookmarkStart w:id="63" w:name="exit-criteria-2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32"/>
        </w:numPr>
      </w:pPr>
      <w:r>
        <w:t xml:space="preserve">material ownership and governance mechanisms are established;</w:t>
      </w:r>
    </w:p>
    <w:p>
      <w:pPr>
        <w:pStyle w:val="Compact"/>
        <w:numPr>
          <w:ilvl w:val="0"/>
          <w:numId w:val="1032"/>
        </w:numPr>
      </w:pPr>
      <w:r>
        <w:t xml:space="preserve">the most consequential external constraints are identified;</w:t>
      </w:r>
    </w:p>
    <w:p>
      <w:pPr>
        <w:pStyle w:val="Compact"/>
        <w:numPr>
          <w:ilvl w:val="0"/>
          <w:numId w:val="1032"/>
        </w:numPr>
      </w:pPr>
      <w:r>
        <w:t xml:space="preserve">alleged agendas are clearly labelled as inference;</w:t>
      </w:r>
    </w:p>
    <w:p>
      <w:pPr>
        <w:pStyle w:val="Compact"/>
        <w:numPr>
          <w:ilvl w:val="0"/>
          <w:numId w:val="1032"/>
        </w:numPr>
      </w:pPr>
      <w:r>
        <w:t xml:space="preserve">unresolved control questions are visible.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Xe3021a8643eeb9595fff1a73f5395d4dd31701b"/>
    <w:p>
      <w:pPr>
        <w:pStyle w:val="Heading1"/>
      </w:pPr>
      <w:r>
        <w:t xml:space="preserve">Phase 3 — Board agenda and burning platforms</w:t>
      </w:r>
    </w:p>
    <w:bookmarkStart w:id="65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Reconstruct what the board must defend, fix, deliver and prove.</w:t>
      </w:r>
    </w:p>
    <w:bookmarkEnd w:id="65"/>
    <w:bookmarkStart w:id="66" w:name="required-work-3"/>
    <w:p>
      <w:pPr>
        <w:pStyle w:val="Heading2"/>
      </w:pPr>
      <w:r>
        <w:t xml:space="preserve">Required work</w:t>
      </w:r>
    </w:p>
    <w:p>
      <w:pPr>
        <w:pStyle w:val="Compact"/>
        <w:numPr>
          <w:ilvl w:val="0"/>
          <w:numId w:val="1033"/>
        </w:numPr>
      </w:pPr>
      <w:r>
        <w:t xml:space="preserve">extract public commitments;</w:t>
      </w:r>
    </w:p>
    <w:p>
      <w:pPr>
        <w:pStyle w:val="Compact"/>
        <w:numPr>
          <w:ilvl w:val="0"/>
          <w:numId w:val="1033"/>
        </w:numPr>
      </w:pPr>
      <w:r>
        <w:t xml:space="preserve">identify guidance and deadlines;</w:t>
      </w:r>
    </w:p>
    <w:p>
      <w:pPr>
        <w:pStyle w:val="Compact"/>
        <w:numPr>
          <w:ilvl w:val="0"/>
          <w:numId w:val="1033"/>
        </w:numPr>
      </w:pPr>
      <w:r>
        <w:t xml:space="preserve">identify risks to credibility;</w:t>
      </w:r>
    </w:p>
    <w:p>
      <w:pPr>
        <w:pStyle w:val="Compact"/>
        <w:numPr>
          <w:ilvl w:val="0"/>
          <w:numId w:val="1033"/>
        </w:numPr>
      </w:pPr>
      <w:r>
        <w:t xml:space="preserve">identify material deteriorating conditions;</w:t>
      </w:r>
    </w:p>
    <w:p>
      <w:pPr>
        <w:pStyle w:val="Compact"/>
        <w:numPr>
          <w:ilvl w:val="0"/>
          <w:numId w:val="1033"/>
        </w:numPr>
      </w:pPr>
      <w:r>
        <w:t xml:space="preserve">distinguish symptoms from root operating mechanisms;</w:t>
      </w:r>
    </w:p>
    <w:p>
      <w:pPr>
        <w:pStyle w:val="Compact"/>
        <w:numPr>
          <w:ilvl w:val="0"/>
          <w:numId w:val="1033"/>
        </w:numPr>
      </w:pPr>
      <w:r>
        <w:t xml:space="preserve">test each proposed burning platform.</w:t>
      </w:r>
    </w:p>
    <w:p>
      <w:pPr>
        <w:pStyle w:val="FirstParagraph"/>
      </w:pPr>
      <w:r>
        <w:t xml:space="preserve">A burning platform MUST be assessed against:</w:t>
      </w:r>
    </w:p>
    <w:p>
      <w:pPr>
        <w:pStyle w:val="Compact"/>
        <w:numPr>
          <w:ilvl w:val="0"/>
          <w:numId w:val="1034"/>
        </w:numPr>
      </w:pPr>
      <w:r>
        <w:t xml:space="preserve">material consequence;</w:t>
      </w:r>
    </w:p>
    <w:p>
      <w:pPr>
        <w:pStyle w:val="Compact"/>
        <w:numPr>
          <w:ilvl w:val="0"/>
          <w:numId w:val="1034"/>
        </w:numPr>
      </w:pPr>
      <w:r>
        <w:t xml:space="preserve">time pressure;</w:t>
      </w:r>
    </w:p>
    <w:p>
      <w:pPr>
        <w:pStyle w:val="Compact"/>
        <w:numPr>
          <w:ilvl w:val="0"/>
          <w:numId w:val="1034"/>
        </w:numPr>
      </w:pPr>
      <w:r>
        <w:t xml:space="preserve">worsening trajectory or credibility exposure;</w:t>
      </w:r>
    </w:p>
    <w:p>
      <w:pPr>
        <w:pStyle w:val="Compact"/>
        <w:numPr>
          <w:ilvl w:val="0"/>
          <w:numId w:val="1034"/>
        </w:numPr>
      </w:pPr>
      <w:r>
        <w:t xml:space="preserve">inadequate current response;</w:t>
      </w:r>
    </w:p>
    <w:p>
      <w:pPr>
        <w:pStyle w:val="Compact"/>
        <w:numPr>
          <w:ilvl w:val="0"/>
          <w:numId w:val="1034"/>
        </w:numPr>
      </w:pPr>
      <w:r>
        <w:t xml:space="preserve">executive accountability.</w:t>
      </w:r>
    </w:p>
    <w:bookmarkEnd w:id="66"/>
    <w:bookmarkStart w:id="67" w:name="mandatory-outputs-3"/>
    <w:p>
      <w:pPr>
        <w:pStyle w:val="Heading2"/>
      </w:pPr>
      <w:r>
        <w:t xml:space="preserve">Mandatory outputs</w:t>
      </w:r>
    </w:p>
    <w:p>
      <w:pPr>
        <w:pStyle w:val="Compact"/>
        <w:numPr>
          <w:ilvl w:val="0"/>
          <w:numId w:val="1035"/>
        </w:numPr>
      </w:pPr>
      <w:r>
        <w:t xml:space="preserve">board agenda map;</w:t>
      </w:r>
    </w:p>
    <w:p>
      <w:pPr>
        <w:pStyle w:val="Compact"/>
        <w:numPr>
          <w:ilvl w:val="0"/>
          <w:numId w:val="1035"/>
        </w:numPr>
      </w:pPr>
      <w:r>
        <w:t xml:space="preserve">board anxiety register;</w:t>
      </w:r>
    </w:p>
    <w:p>
      <w:pPr>
        <w:pStyle w:val="Compact"/>
        <w:numPr>
          <w:ilvl w:val="0"/>
          <w:numId w:val="1035"/>
        </w:numPr>
      </w:pPr>
      <w:r>
        <w:t xml:space="preserve">burning-platform register;</w:t>
      </w:r>
    </w:p>
    <w:p>
      <w:pPr>
        <w:pStyle w:val="Compact"/>
        <w:numPr>
          <w:ilvl w:val="0"/>
          <w:numId w:val="1035"/>
        </w:numPr>
      </w:pPr>
      <w:r>
        <w:t xml:space="preserve">promise and commitment tracker;</w:t>
      </w:r>
    </w:p>
    <w:p>
      <w:pPr>
        <w:pStyle w:val="Compact"/>
        <w:numPr>
          <w:ilvl w:val="0"/>
          <w:numId w:val="1035"/>
        </w:numPr>
      </w:pPr>
      <w:r>
        <w:t xml:space="preserve">credibility-at-risk register;</w:t>
      </w:r>
    </w:p>
    <w:p>
      <w:pPr>
        <w:pStyle w:val="Compact"/>
        <w:numPr>
          <w:ilvl w:val="0"/>
          <w:numId w:val="1035"/>
        </w:numPr>
      </w:pPr>
      <w:r>
        <w:t xml:space="preserve">deadline and consequence map.</w:t>
      </w:r>
    </w:p>
    <w:bookmarkEnd w:id="67"/>
    <w:bookmarkStart w:id="68" w:name="exit-criteria-3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36"/>
        </w:numPr>
      </w:pPr>
      <w:r>
        <w:t xml:space="preserve">board priorities are tied to evidence;</w:t>
      </w:r>
    </w:p>
    <w:p>
      <w:pPr>
        <w:pStyle w:val="Compact"/>
        <w:numPr>
          <w:ilvl w:val="0"/>
          <w:numId w:val="1036"/>
        </w:numPr>
      </w:pPr>
      <w:r>
        <w:t xml:space="preserve">routine risks are separated from burning platforms;</w:t>
      </w:r>
    </w:p>
    <w:p>
      <w:pPr>
        <w:pStyle w:val="Compact"/>
        <w:numPr>
          <w:ilvl w:val="0"/>
          <w:numId w:val="1036"/>
        </w:numPr>
      </w:pPr>
      <w:r>
        <w:t xml:space="preserve">each accepted burning platform has an accountable executive or governance body;</w:t>
      </w:r>
    </w:p>
    <w:p>
      <w:pPr>
        <w:pStyle w:val="Compact"/>
        <w:numPr>
          <w:ilvl w:val="0"/>
          <w:numId w:val="1036"/>
        </w:numPr>
      </w:pPr>
      <w:r>
        <w:t xml:space="preserve">contrary evidence is preserved.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X609af86026bcacca3474d67c92d26c7495b4cc2"/>
    <w:p>
      <w:pPr>
        <w:pStyle w:val="Heading1"/>
      </w:pPr>
      <w:r>
        <w:t xml:space="preserve">Phase 4 — Strategic bets and enterprise economics</w:t>
      </w:r>
    </w:p>
    <w:bookmarkStart w:id="70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Explain what management is relying on and how the economic engine works.</w:t>
      </w:r>
    </w:p>
    <w:bookmarkEnd w:id="70"/>
    <w:bookmarkStart w:id="71" w:name="required-work-4"/>
    <w:p>
      <w:pPr>
        <w:pStyle w:val="Heading2"/>
      </w:pPr>
      <w:r>
        <w:t xml:space="preserve">Required work</w:t>
      </w:r>
    </w:p>
    <w:p>
      <w:pPr>
        <w:pStyle w:val="FirstParagraph"/>
      </w:pPr>
      <w:r>
        <w:t xml:space="preserve">For every material strategic bet, establish:</w:t>
      </w:r>
    </w:p>
    <w:p>
      <w:pPr>
        <w:pStyle w:val="Compact"/>
        <w:numPr>
          <w:ilvl w:val="0"/>
          <w:numId w:val="1037"/>
        </w:numPr>
      </w:pPr>
      <w:r>
        <w:t xml:space="preserve">intended outcome;</w:t>
      </w:r>
    </w:p>
    <w:p>
      <w:pPr>
        <w:pStyle w:val="Compact"/>
        <w:numPr>
          <w:ilvl w:val="0"/>
          <w:numId w:val="1037"/>
        </w:numPr>
      </w:pPr>
      <w:r>
        <w:t xml:space="preserve">sponsor;</w:t>
      </w:r>
    </w:p>
    <w:p>
      <w:pPr>
        <w:pStyle w:val="Compact"/>
        <w:numPr>
          <w:ilvl w:val="0"/>
          <w:numId w:val="1037"/>
        </w:numPr>
      </w:pPr>
      <w:r>
        <w:t xml:space="preserve">investment;</w:t>
      </w:r>
    </w:p>
    <w:p>
      <w:pPr>
        <w:pStyle w:val="Compact"/>
        <w:numPr>
          <w:ilvl w:val="0"/>
          <w:numId w:val="1037"/>
        </w:numPr>
      </w:pPr>
      <w:r>
        <w:t xml:space="preserve">dependencies;</w:t>
      </w:r>
    </w:p>
    <w:p>
      <w:pPr>
        <w:pStyle w:val="Compact"/>
        <w:numPr>
          <w:ilvl w:val="0"/>
          <w:numId w:val="1037"/>
        </w:numPr>
      </w:pPr>
      <w:r>
        <w:t xml:space="preserve">leading indicators;</w:t>
      </w:r>
    </w:p>
    <w:p>
      <w:pPr>
        <w:pStyle w:val="Compact"/>
        <w:numPr>
          <w:ilvl w:val="0"/>
          <w:numId w:val="1037"/>
        </w:numPr>
      </w:pPr>
      <w:r>
        <w:t xml:space="preserve">contradictory evidence;</w:t>
      </w:r>
    </w:p>
    <w:p>
      <w:pPr>
        <w:pStyle w:val="Compact"/>
        <w:numPr>
          <w:ilvl w:val="0"/>
          <w:numId w:val="1037"/>
        </w:numPr>
      </w:pPr>
      <w:r>
        <w:t xml:space="preserve">invalidation conditions.</w:t>
      </w:r>
    </w:p>
    <w:p>
      <w:pPr>
        <w:pStyle w:val="FirstParagraph"/>
      </w:pPr>
      <w:r>
        <w:t xml:space="preserve">Reconstruct:</w:t>
      </w:r>
    </w:p>
    <w:p>
      <w:pPr>
        <w:pStyle w:val="Compact"/>
        <w:numPr>
          <w:ilvl w:val="0"/>
          <w:numId w:val="1038"/>
        </w:numPr>
      </w:pPr>
      <w:r>
        <w:t xml:space="preserve">revenue architecture;</w:t>
      </w:r>
    </w:p>
    <w:p>
      <w:pPr>
        <w:pStyle w:val="Compact"/>
        <w:numPr>
          <w:ilvl w:val="0"/>
          <w:numId w:val="1038"/>
        </w:numPr>
      </w:pPr>
      <w:r>
        <w:t xml:space="preserve">cost architecture;</w:t>
      </w:r>
    </w:p>
    <w:p>
      <w:pPr>
        <w:pStyle w:val="Compact"/>
        <w:numPr>
          <w:ilvl w:val="0"/>
          <w:numId w:val="1038"/>
        </w:numPr>
      </w:pPr>
      <w:r>
        <w:t xml:space="preserve">profit-to-cash conversion;</w:t>
      </w:r>
    </w:p>
    <w:p>
      <w:pPr>
        <w:pStyle w:val="Compact"/>
        <w:numPr>
          <w:ilvl w:val="0"/>
          <w:numId w:val="1038"/>
        </w:numPr>
      </w:pPr>
      <w:r>
        <w:t xml:space="preserve">capital allocation;</w:t>
      </w:r>
    </w:p>
    <w:p>
      <w:pPr>
        <w:pStyle w:val="Compact"/>
        <w:numPr>
          <w:ilvl w:val="0"/>
          <w:numId w:val="1038"/>
        </w:numPr>
      </w:pPr>
      <w:r>
        <w:t xml:space="preserve">debt, pensions and financing;</w:t>
      </w:r>
    </w:p>
    <w:p>
      <w:pPr>
        <w:pStyle w:val="Compact"/>
        <w:numPr>
          <w:ilvl w:val="0"/>
          <w:numId w:val="1038"/>
        </w:numPr>
      </w:pPr>
      <w:r>
        <w:t xml:space="preserve">value pools;</w:t>
      </w:r>
    </w:p>
    <w:p>
      <w:pPr>
        <w:pStyle w:val="Compact"/>
        <w:numPr>
          <w:ilvl w:val="0"/>
          <w:numId w:val="1038"/>
        </w:numPr>
      </w:pPr>
      <w:r>
        <w:t xml:space="preserve">structural and controllable costs.</w:t>
      </w:r>
    </w:p>
    <w:bookmarkEnd w:id="71"/>
    <w:bookmarkStart w:id="72" w:name="mandatory-outputs-4"/>
    <w:p>
      <w:pPr>
        <w:pStyle w:val="Heading2"/>
      </w:pPr>
      <w:r>
        <w:t xml:space="preserve">Mandatory outputs</w:t>
      </w:r>
    </w:p>
    <w:p>
      <w:pPr>
        <w:pStyle w:val="Compact"/>
        <w:numPr>
          <w:ilvl w:val="0"/>
          <w:numId w:val="1039"/>
        </w:numPr>
      </w:pPr>
      <w:r>
        <w:t xml:space="preserve">strategic-bet register;</w:t>
      </w:r>
    </w:p>
    <w:p>
      <w:pPr>
        <w:pStyle w:val="Compact"/>
        <w:numPr>
          <w:ilvl w:val="0"/>
          <w:numId w:val="1039"/>
        </w:numPr>
      </w:pPr>
      <w:r>
        <w:t xml:space="preserve">revenue-driver trees;</w:t>
      </w:r>
    </w:p>
    <w:p>
      <w:pPr>
        <w:pStyle w:val="Compact"/>
        <w:numPr>
          <w:ilvl w:val="0"/>
          <w:numId w:val="1039"/>
        </w:numPr>
      </w:pPr>
      <w:r>
        <w:t xml:space="preserve">cost-driver trees;</w:t>
      </w:r>
    </w:p>
    <w:p>
      <w:pPr>
        <w:pStyle w:val="Compact"/>
        <w:numPr>
          <w:ilvl w:val="0"/>
          <w:numId w:val="1039"/>
        </w:numPr>
      </w:pPr>
      <w:r>
        <w:t xml:space="preserve">profit-to-cash bridge;</w:t>
      </w:r>
    </w:p>
    <w:p>
      <w:pPr>
        <w:pStyle w:val="Compact"/>
        <w:numPr>
          <w:ilvl w:val="0"/>
          <w:numId w:val="1039"/>
        </w:numPr>
      </w:pPr>
      <w:r>
        <w:t xml:space="preserve">capital-allocation map;</w:t>
      </w:r>
    </w:p>
    <w:p>
      <w:pPr>
        <w:pStyle w:val="Compact"/>
        <w:numPr>
          <w:ilvl w:val="0"/>
          <w:numId w:val="1039"/>
        </w:numPr>
      </w:pPr>
      <w:r>
        <w:t xml:space="preserve">value-pool map;</w:t>
      </w:r>
    </w:p>
    <w:p>
      <w:pPr>
        <w:pStyle w:val="Compact"/>
        <w:numPr>
          <w:ilvl w:val="0"/>
          <w:numId w:val="1039"/>
        </w:numPr>
      </w:pPr>
      <w:r>
        <w:t xml:space="preserve">bet-to-outcome dependency map;</w:t>
      </w:r>
    </w:p>
    <w:p>
      <w:pPr>
        <w:pStyle w:val="Compact"/>
        <w:numPr>
          <w:ilvl w:val="0"/>
          <w:numId w:val="1039"/>
        </w:numPr>
      </w:pPr>
      <w:r>
        <w:t xml:space="preserve">calculation register.</w:t>
      </w:r>
    </w:p>
    <w:bookmarkEnd w:id="72"/>
    <w:bookmarkStart w:id="73" w:name="exit-criteria-4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40"/>
        </w:numPr>
      </w:pPr>
      <w:r>
        <w:t xml:space="preserve">the substantial majority of enterprise revenue is explained;</w:t>
      </w:r>
    </w:p>
    <w:p>
      <w:pPr>
        <w:pStyle w:val="Compact"/>
        <w:numPr>
          <w:ilvl w:val="0"/>
          <w:numId w:val="1040"/>
        </w:numPr>
      </w:pPr>
      <w:r>
        <w:t xml:space="preserve">material costs are classified and assigned;</w:t>
      </w:r>
    </w:p>
    <w:p>
      <w:pPr>
        <w:pStyle w:val="Compact"/>
        <w:numPr>
          <w:ilvl w:val="0"/>
          <w:numId w:val="1040"/>
        </w:numPr>
      </w:pPr>
      <w:r>
        <w:t xml:space="preserve">profit-to-cash mechanics are reconstructed;</w:t>
      </w:r>
    </w:p>
    <w:p>
      <w:pPr>
        <w:pStyle w:val="Compact"/>
        <w:numPr>
          <w:ilvl w:val="0"/>
          <w:numId w:val="1040"/>
        </w:numPr>
      </w:pPr>
      <w:r>
        <w:t xml:space="preserve">unexplained material value pools are recorded as gaps;</w:t>
      </w:r>
    </w:p>
    <w:p>
      <w:pPr>
        <w:pStyle w:val="Compact"/>
        <w:numPr>
          <w:ilvl w:val="0"/>
          <w:numId w:val="1040"/>
        </w:numPr>
      </w:pPr>
      <w:r>
        <w:t xml:space="preserve">strategic bets have measurable dependencies and invalidation conditions.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phase-5-business-unit-anatomy"/>
    <w:p>
      <w:pPr>
        <w:pStyle w:val="Heading1"/>
      </w:pPr>
      <w:r>
        <w:t xml:space="preserve">Phase 5 — Business-unit anatomy</w:t>
      </w:r>
    </w:p>
    <w:bookmarkStart w:id="75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Move from Group reporting into the parts of the enterprise where value is created, destroyed or constrained.</w:t>
      </w:r>
    </w:p>
    <w:bookmarkEnd w:id="75"/>
    <w:bookmarkStart w:id="76" w:name="required-work-5"/>
    <w:p>
      <w:pPr>
        <w:pStyle w:val="Heading2"/>
      </w:pPr>
      <w:r>
        <w:t xml:space="preserve">Required work</w:t>
      </w:r>
    </w:p>
    <w:p>
      <w:pPr>
        <w:pStyle w:val="FirstParagraph"/>
      </w:pPr>
      <w:r>
        <w:t xml:space="preserve">Create an anatomy card for every material business unit.</w:t>
      </w:r>
    </w:p>
    <w:p>
      <w:pPr>
        <w:pStyle w:val="BodyText"/>
      </w:pPr>
      <w:r>
        <w:t xml:space="preserve">Each card MUST cover:</w:t>
      </w:r>
    </w:p>
    <w:p>
      <w:pPr>
        <w:pStyle w:val="Compact"/>
        <w:numPr>
          <w:ilvl w:val="0"/>
          <w:numId w:val="1041"/>
        </w:numPr>
      </w:pPr>
      <w:r>
        <w:t xml:space="preserve">identity and role;</w:t>
      </w:r>
    </w:p>
    <w:p>
      <w:pPr>
        <w:pStyle w:val="Compact"/>
        <w:numPr>
          <w:ilvl w:val="0"/>
          <w:numId w:val="1041"/>
        </w:numPr>
      </w:pPr>
      <w:r>
        <w:t xml:space="preserve">customers, products and channels;</w:t>
      </w:r>
    </w:p>
    <w:p>
      <w:pPr>
        <w:pStyle w:val="Compact"/>
        <w:numPr>
          <w:ilvl w:val="0"/>
          <w:numId w:val="1041"/>
        </w:numPr>
      </w:pPr>
      <w:r>
        <w:t xml:space="preserve">regulatory perimeter;</w:t>
      </w:r>
    </w:p>
    <w:p>
      <w:pPr>
        <w:pStyle w:val="Compact"/>
        <w:numPr>
          <w:ilvl w:val="0"/>
          <w:numId w:val="1041"/>
        </w:numPr>
      </w:pPr>
      <w:r>
        <w:t xml:space="preserve">leadership and decision rights;</w:t>
      </w:r>
    </w:p>
    <w:p>
      <w:pPr>
        <w:pStyle w:val="Compact"/>
        <w:numPr>
          <w:ilvl w:val="0"/>
          <w:numId w:val="1041"/>
        </w:numPr>
      </w:pPr>
      <w:r>
        <w:t xml:space="preserve">revenue and margin;</w:t>
      </w:r>
    </w:p>
    <w:p>
      <w:pPr>
        <w:pStyle w:val="Compact"/>
        <w:numPr>
          <w:ilvl w:val="0"/>
          <w:numId w:val="1041"/>
        </w:numPr>
      </w:pPr>
      <w:r>
        <w:t xml:space="preserve">direct and allocated cost;</w:t>
      </w:r>
    </w:p>
    <w:p>
      <w:pPr>
        <w:pStyle w:val="Compact"/>
        <w:numPr>
          <w:ilvl w:val="0"/>
          <w:numId w:val="1041"/>
        </w:numPr>
      </w:pPr>
      <w:r>
        <w:t xml:space="preserve">cash and capital contribution;</w:t>
      </w:r>
    </w:p>
    <w:p>
      <w:pPr>
        <w:pStyle w:val="Compact"/>
        <w:numPr>
          <w:ilvl w:val="0"/>
          <w:numId w:val="1041"/>
        </w:numPr>
      </w:pPr>
      <w:r>
        <w:t xml:space="preserve">workforce;</w:t>
      </w:r>
    </w:p>
    <w:p>
      <w:pPr>
        <w:pStyle w:val="Compact"/>
        <w:numPr>
          <w:ilvl w:val="0"/>
          <w:numId w:val="1041"/>
        </w:numPr>
      </w:pPr>
      <w:r>
        <w:t xml:space="preserve">value streams;</w:t>
      </w:r>
    </w:p>
    <w:p>
      <w:pPr>
        <w:pStyle w:val="Compact"/>
        <w:numPr>
          <w:ilvl w:val="0"/>
          <w:numId w:val="1041"/>
        </w:numPr>
      </w:pPr>
      <w:r>
        <w:t xml:space="preserve">technology and data;</w:t>
      </w:r>
    </w:p>
    <w:p>
      <w:pPr>
        <w:pStyle w:val="Compact"/>
        <w:numPr>
          <w:ilvl w:val="0"/>
          <w:numId w:val="1041"/>
        </w:numPr>
      </w:pPr>
      <w:r>
        <w:t xml:space="preserve">suppliers and contracts;</w:t>
      </w:r>
    </w:p>
    <w:p>
      <w:pPr>
        <w:pStyle w:val="Compact"/>
        <w:numPr>
          <w:ilvl w:val="0"/>
          <w:numId w:val="1041"/>
        </w:numPr>
      </w:pPr>
      <w:r>
        <w:t xml:space="preserve">current programmes;</w:t>
      </w:r>
    </w:p>
    <w:p>
      <w:pPr>
        <w:pStyle w:val="Compact"/>
        <w:numPr>
          <w:ilvl w:val="0"/>
          <w:numId w:val="1041"/>
        </w:numPr>
      </w:pPr>
      <w:r>
        <w:t xml:space="preserve">operating KPIs;</w:t>
      </w:r>
    </w:p>
    <w:p>
      <w:pPr>
        <w:pStyle w:val="Compact"/>
        <w:numPr>
          <w:ilvl w:val="0"/>
          <w:numId w:val="1041"/>
        </w:numPr>
      </w:pPr>
      <w:r>
        <w:t xml:space="preserve">issues and leakage;</w:t>
      </w:r>
    </w:p>
    <w:p>
      <w:pPr>
        <w:pStyle w:val="Compact"/>
        <w:numPr>
          <w:ilvl w:val="0"/>
          <w:numId w:val="1041"/>
        </w:numPr>
      </w:pPr>
      <w:r>
        <w:t xml:space="preserve">next-release implications.</w:t>
      </w:r>
    </w:p>
    <w:bookmarkEnd w:id="76"/>
    <w:bookmarkStart w:id="77" w:name="mandatory-outputs-5"/>
    <w:p>
      <w:pPr>
        <w:pStyle w:val="Heading2"/>
      </w:pPr>
      <w:r>
        <w:t xml:space="preserve">Mandatory outputs</w:t>
      </w:r>
    </w:p>
    <w:p>
      <w:pPr>
        <w:pStyle w:val="Compact"/>
        <w:numPr>
          <w:ilvl w:val="0"/>
          <w:numId w:val="1042"/>
        </w:numPr>
      </w:pPr>
      <w:r>
        <w:t xml:space="preserve">enterprise organisational map;</w:t>
      </w:r>
    </w:p>
    <w:p>
      <w:pPr>
        <w:pStyle w:val="Compact"/>
        <w:numPr>
          <w:ilvl w:val="0"/>
          <w:numId w:val="1042"/>
        </w:numPr>
      </w:pPr>
      <w:r>
        <w:t xml:space="preserve">business-unit anatomy cards;</w:t>
      </w:r>
    </w:p>
    <w:p>
      <w:pPr>
        <w:pStyle w:val="Compact"/>
        <w:numPr>
          <w:ilvl w:val="0"/>
          <w:numId w:val="1042"/>
        </w:numPr>
      </w:pPr>
      <w:r>
        <w:t xml:space="preserve">business-unit economics view;</w:t>
      </w:r>
    </w:p>
    <w:p>
      <w:pPr>
        <w:pStyle w:val="Compact"/>
        <w:numPr>
          <w:ilvl w:val="0"/>
          <w:numId w:val="1042"/>
        </w:numPr>
      </w:pPr>
      <w:r>
        <w:t xml:space="preserve">allocation and cross-subsidy assessment;</w:t>
      </w:r>
    </w:p>
    <w:p>
      <w:pPr>
        <w:pStyle w:val="Compact"/>
        <w:numPr>
          <w:ilvl w:val="0"/>
          <w:numId w:val="1042"/>
        </w:numPr>
      </w:pPr>
      <w:r>
        <w:t xml:space="preserve">cross-unit dependency map;</w:t>
      </w:r>
    </w:p>
    <w:p>
      <w:pPr>
        <w:pStyle w:val="Compact"/>
        <w:numPr>
          <w:ilvl w:val="0"/>
          <w:numId w:val="1042"/>
        </w:numPr>
      </w:pPr>
      <w:r>
        <w:t xml:space="preserve">business-unit issue heat map.</w:t>
      </w:r>
    </w:p>
    <w:bookmarkEnd w:id="77"/>
    <w:bookmarkStart w:id="78" w:name="exit-criteria-5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43"/>
        </w:numPr>
      </w:pPr>
      <w:r>
        <w:t xml:space="preserve">every material unit has an anatomy card or explicit Unavailable state;</w:t>
      </w:r>
    </w:p>
    <w:p>
      <w:pPr>
        <w:pStyle w:val="Compact"/>
        <w:numPr>
          <w:ilvl w:val="0"/>
          <w:numId w:val="1043"/>
        </w:numPr>
      </w:pPr>
      <w:r>
        <w:t xml:space="preserve">Group outcomes can be traced to material units;</w:t>
      </w:r>
    </w:p>
    <w:p>
      <w:pPr>
        <w:pStyle w:val="Compact"/>
        <w:numPr>
          <w:ilvl w:val="0"/>
          <w:numId w:val="1043"/>
        </w:numPr>
      </w:pPr>
      <w:r>
        <w:t xml:space="preserve">cross-unit dependencies are identified;</w:t>
      </w:r>
    </w:p>
    <w:p>
      <w:pPr>
        <w:pStyle w:val="Compact"/>
        <w:numPr>
          <w:ilvl w:val="0"/>
          <w:numId w:val="1043"/>
        </w:numPr>
      </w:pPr>
      <w:r>
        <w:t xml:space="preserve">allocated costs and shared services are not treated as direct economics without qualification.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X1e59d5bd121beb9552c63295d5e861092f53e21"/>
    <w:p>
      <w:pPr>
        <w:pStyle w:val="Heading1"/>
      </w:pPr>
      <w:r>
        <w:t xml:space="preserve">Phase 6 — Customer, product and market engine</w:t>
      </w:r>
    </w:p>
    <w:bookmarkStart w:id="80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Explain the customer and product mechanisms beneath revenue.</w:t>
      </w:r>
    </w:p>
    <w:bookmarkEnd w:id="80"/>
    <w:bookmarkStart w:id="81" w:name="required-work-6"/>
    <w:p>
      <w:pPr>
        <w:pStyle w:val="Heading2"/>
      </w:pPr>
      <w:r>
        <w:t xml:space="preserve">Required work</w:t>
      </w:r>
    </w:p>
    <w:p>
      <w:pPr>
        <w:pStyle w:val="FirstParagraph"/>
      </w:pPr>
      <w:r>
        <w:t xml:space="preserve">Assess:</w:t>
      </w:r>
    </w:p>
    <w:p>
      <w:pPr>
        <w:pStyle w:val="Compact"/>
        <w:numPr>
          <w:ilvl w:val="0"/>
          <w:numId w:val="1044"/>
        </w:numPr>
      </w:pPr>
      <w:r>
        <w:t xml:space="preserve">customer groups;</w:t>
      </w:r>
    </w:p>
    <w:p>
      <w:pPr>
        <w:pStyle w:val="Compact"/>
        <w:numPr>
          <w:ilvl w:val="0"/>
          <w:numId w:val="1044"/>
        </w:numPr>
      </w:pPr>
      <w:r>
        <w:t xml:space="preserve">acquisition;</w:t>
      </w:r>
    </w:p>
    <w:p>
      <w:pPr>
        <w:pStyle w:val="Compact"/>
        <w:numPr>
          <w:ilvl w:val="0"/>
          <w:numId w:val="1044"/>
        </w:numPr>
      </w:pPr>
      <w:r>
        <w:t xml:space="preserve">retention and churn;</w:t>
      </w:r>
    </w:p>
    <w:p>
      <w:pPr>
        <w:pStyle w:val="Compact"/>
        <w:numPr>
          <w:ilvl w:val="0"/>
          <w:numId w:val="1044"/>
        </w:numPr>
      </w:pPr>
      <w:r>
        <w:t xml:space="preserve">pricing and discounting;</w:t>
      </w:r>
    </w:p>
    <w:p>
      <w:pPr>
        <w:pStyle w:val="Compact"/>
        <w:numPr>
          <w:ilvl w:val="0"/>
          <w:numId w:val="1044"/>
        </w:numPr>
      </w:pPr>
      <w:r>
        <w:t xml:space="preserve">usage and volume;</w:t>
      </w:r>
    </w:p>
    <w:p>
      <w:pPr>
        <w:pStyle w:val="Compact"/>
        <w:numPr>
          <w:ilvl w:val="0"/>
          <w:numId w:val="1044"/>
        </w:numPr>
      </w:pPr>
      <w:r>
        <w:t xml:space="preserve">product and customer mix;</w:t>
      </w:r>
    </w:p>
    <w:p>
      <w:pPr>
        <w:pStyle w:val="Compact"/>
        <w:numPr>
          <w:ilvl w:val="0"/>
          <w:numId w:val="1044"/>
        </w:numPr>
      </w:pPr>
      <w:r>
        <w:t xml:space="preserve">contract characteristics;</w:t>
      </w:r>
    </w:p>
    <w:p>
      <w:pPr>
        <w:pStyle w:val="Compact"/>
        <w:numPr>
          <w:ilvl w:val="0"/>
          <w:numId w:val="1044"/>
        </w:numPr>
      </w:pPr>
      <w:r>
        <w:t xml:space="preserve">channels;</w:t>
      </w:r>
    </w:p>
    <w:p>
      <w:pPr>
        <w:pStyle w:val="Compact"/>
        <w:numPr>
          <w:ilvl w:val="0"/>
          <w:numId w:val="1044"/>
        </w:numPr>
      </w:pPr>
      <w:r>
        <w:t xml:space="preserve">service cost;</w:t>
      </w:r>
    </w:p>
    <w:p>
      <w:pPr>
        <w:pStyle w:val="Compact"/>
        <w:numPr>
          <w:ilvl w:val="0"/>
          <w:numId w:val="1044"/>
        </w:numPr>
      </w:pPr>
      <w:r>
        <w:t xml:space="preserve">market share;</w:t>
      </w:r>
    </w:p>
    <w:p>
      <w:pPr>
        <w:pStyle w:val="Compact"/>
        <w:numPr>
          <w:ilvl w:val="0"/>
          <w:numId w:val="1044"/>
        </w:numPr>
      </w:pPr>
      <w:r>
        <w:t xml:space="preserve">competitor effects;</w:t>
      </w:r>
    </w:p>
    <w:p>
      <w:pPr>
        <w:pStyle w:val="Compact"/>
        <w:numPr>
          <w:ilvl w:val="0"/>
          <w:numId w:val="1044"/>
        </w:numPr>
      </w:pPr>
      <w:r>
        <w:t xml:space="preserve">migration and substitution;</w:t>
      </w:r>
    </w:p>
    <w:p>
      <w:pPr>
        <w:pStyle w:val="Compact"/>
        <w:numPr>
          <w:ilvl w:val="0"/>
          <w:numId w:val="1044"/>
        </w:numPr>
      </w:pPr>
      <w:r>
        <w:t xml:space="preserve">regulation.</w:t>
      </w:r>
    </w:p>
    <w:bookmarkEnd w:id="81"/>
    <w:bookmarkStart w:id="82" w:name="mandatory-outputs-6"/>
    <w:p>
      <w:pPr>
        <w:pStyle w:val="Heading2"/>
      </w:pPr>
      <w:r>
        <w:t xml:space="preserve">Mandatory outputs</w:t>
      </w:r>
    </w:p>
    <w:p>
      <w:pPr>
        <w:pStyle w:val="Compact"/>
        <w:numPr>
          <w:ilvl w:val="0"/>
          <w:numId w:val="1045"/>
        </w:numPr>
      </w:pPr>
      <w:r>
        <w:t xml:space="preserve">customer and market engine;</w:t>
      </w:r>
    </w:p>
    <w:p>
      <w:pPr>
        <w:pStyle w:val="Compact"/>
        <w:numPr>
          <w:ilvl w:val="0"/>
          <w:numId w:val="1045"/>
        </w:numPr>
      </w:pPr>
      <w:r>
        <w:t xml:space="preserve">product and customer value-pool map;</w:t>
      </w:r>
    </w:p>
    <w:p>
      <w:pPr>
        <w:pStyle w:val="Compact"/>
        <w:numPr>
          <w:ilvl w:val="0"/>
          <w:numId w:val="1045"/>
        </w:numPr>
      </w:pPr>
      <w:r>
        <w:t xml:space="preserve">customer lifecycle map;</w:t>
      </w:r>
    </w:p>
    <w:p>
      <w:pPr>
        <w:pStyle w:val="Compact"/>
        <w:numPr>
          <w:ilvl w:val="0"/>
          <w:numId w:val="1045"/>
        </w:numPr>
      </w:pPr>
      <w:r>
        <w:t xml:space="preserve">pricing and retention causal traces;</w:t>
      </w:r>
    </w:p>
    <w:p>
      <w:pPr>
        <w:pStyle w:val="Compact"/>
        <w:numPr>
          <w:ilvl w:val="0"/>
          <w:numId w:val="1045"/>
        </w:numPr>
      </w:pPr>
      <w:r>
        <w:t xml:space="preserve">competitor comparison;</w:t>
      </w:r>
    </w:p>
    <w:p>
      <w:pPr>
        <w:pStyle w:val="Compact"/>
        <w:numPr>
          <w:ilvl w:val="0"/>
          <w:numId w:val="1045"/>
        </w:numPr>
      </w:pPr>
      <w:r>
        <w:t xml:space="preserve">customer-engine Unknowns.</w:t>
      </w:r>
    </w:p>
    <w:bookmarkEnd w:id="82"/>
    <w:bookmarkStart w:id="83" w:name="exit-criteria-6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46"/>
        </w:numPr>
      </w:pPr>
      <w:r>
        <w:t xml:space="preserve">material revenue streams have identified customer and product drivers;</w:t>
      </w:r>
    </w:p>
    <w:p>
      <w:pPr>
        <w:pStyle w:val="Compact"/>
        <w:numPr>
          <w:ilvl w:val="0"/>
          <w:numId w:val="1046"/>
        </w:numPr>
      </w:pPr>
      <w:r>
        <w:t xml:space="preserve">pricing, volume, churn and mix effects are separated where evidence permits;</w:t>
      </w:r>
    </w:p>
    <w:p>
      <w:pPr>
        <w:pStyle w:val="Compact"/>
        <w:numPr>
          <w:ilvl w:val="0"/>
          <w:numId w:val="1046"/>
        </w:numPr>
      </w:pPr>
      <w:r>
        <w:t xml:space="preserve">unexplained customer economics are visible.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X904be8ec35b159ac3d0659242a0b390138514a9"/>
    <w:p>
      <w:pPr>
        <w:pStyle w:val="Heading1"/>
      </w:pPr>
      <w:r>
        <w:t xml:space="preserve">Phase 7 — Processes, workforce, technology, data and suppliers</w:t>
      </w:r>
    </w:p>
    <w:bookmarkStart w:id="85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Establish how operating outcomes are actually produced.</w:t>
      </w:r>
    </w:p>
    <w:bookmarkEnd w:id="85"/>
    <w:bookmarkStart w:id="86" w:name="required-work-7"/>
    <w:p>
      <w:pPr>
        <w:pStyle w:val="Heading2"/>
      </w:pPr>
      <w:r>
        <w:t xml:space="preserve">Required work</w:t>
      </w:r>
    </w:p>
    <w:p>
      <w:pPr>
        <w:pStyle w:val="FirstParagraph"/>
      </w:pPr>
      <w:r>
        <w:t xml:space="preserve">For material value streams, assess:</w:t>
      </w:r>
    </w:p>
    <w:p>
      <w:pPr>
        <w:pStyle w:val="Compact"/>
        <w:numPr>
          <w:ilvl w:val="0"/>
          <w:numId w:val="1047"/>
        </w:numPr>
      </w:pPr>
      <w:r>
        <w:t xml:space="preserve">volume;</w:t>
      </w:r>
    </w:p>
    <w:p>
      <w:pPr>
        <w:pStyle w:val="Compact"/>
        <w:numPr>
          <w:ilvl w:val="0"/>
          <w:numId w:val="1047"/>
        </w:numPr>
      </w:pPr>
      <w:r>
        <w:t xml:space="preserve">unit cost;</w:t>
      </w:r>
    </w:p>
    <w:p>
      <w:pPr>
        <w:pStyle w:val="Compact"/>
        <w:numPr>
          <w:ilvl w:val="0"/>
          <w:numId w:val="1047"/>
        </w:numPr>
      </w:pPr>
      <w:r>
        <w:t xml:space="preserve">cycle time;</w:t>
      </w:r>
    </w:p>
    <w:p>
      <w:pPr>
        <w:pStyle w:val="Compact"/>
        <w:numPr>
          <w:ilvl w:val="0"/>
          <w:numId w:val="1047"/>
        </w:numPr>
      </w:pPr>
      <w:r>
        <w:t xml:space="preserve">quality;</w:t>
      </w:r>
    </w:p>
    <w:p>
      <w:pPr>
        <w:pStyle w:val="Compact"/>
        <w:numPr>
          <w:ilvl w:val="0"/>
          <w:numId w:val="1047"/>
        </w:numPr>
      </w:pPr>
      <w:r>
        <w:t xml:space="preserve">failure rate;</w:t>
      </w:r>
    </w:p>
    <w:p>
      <w:pPr>
        <w:pStyle w:val="Compact"/>
        <w:numPr>
          <w:ilvl w:val="0"/>
          <w:numId w:val="1047"/>
        </w:numPr>
      </w:pPr>
      <w:r>
        <w:t xml:space="preserve">rework;</w:t>
      </w:r>
    </w:p>
    <w:p>
      <w:pPr>
        <w:pStyle w:val="Compact"/>
        <w:numPr>
          <w:ilvl w:val="0"/>
          <w:numId w:val="1047"/>
        </w:numPr>
      </w:pPr>
      <w:r>
        <w:t xml:space="preserve">manual effort;</w:t>
      </w:r>
    </w:p>
    <w:p>
      <w:pPr>
        <w:pStyle w:val="Compact"/>
        <w:numPr>
          <w:ilvl w:val="0"/>
          <w:numId w:val="1047"/>
        </w:numPr>
      </w:pPr>
      <w:r>
        <w:t xml:space="preserve">decision points;</w:t>
      </w:r>
    </w:p>
    <w:p>
      <w:pPr>
        <w:pStyle w:val="Compact"/>
        <w:numPr>
          <w:ilvl w:val="0"/>
          <w:numId w:val="1047"/>
        </w:numPr>
      </w:pPr>
      <w:r>
        <w:t xml:space="preserve">customer impact;</w:t>
      </w:r>
    </w:p>
    <w:p>
      <w:pPr>
        <w:pStyle w:val="Compact"/>
        <w:numPr>
          <w:ilvl w:val="0"/>
          <w:numId w:val="1047"/>
        </w:numPr>
      </w:pPr>
      <w:r>
        <w:t xml:space="preserve">workforce ownership;</w:t>
      </w:r>
    </w:p>
    <w:p>
      <w:pPr>
        <w:pStyle w:val="Compact"/>
        <w:numPr>
          <w:ilvl w:val="0"/>
          <w:numId w:val="1047"/>
        </w:numPr>
      </w:pPr>
      <w:r>
        <w:t xml:space="preserve">platform and data dependency;</w:t>
      </w:r>
    </w:p>
    <w:p>
      <w:pPr>
        <w:pStyle w:val="Compact"/>
        <w:numPr>
          <w:ilvl w:val="0"/>
          <w:numId w:val="1047"/>
        </w:numPr>
      </w:pPr>
      <w:r>
        <w:t xml:space="preserve">supplier dependency;</w:t>
      </w:r>
    </w:p>
    <w:p>
      <w:pPr>
        <w:pStyle w:val="Compact"/>
        <w:numPr>
          <w:ilvl w:val="0"/>
          <w:numId w:val="1047"/>
        </w:numPr>
      </w:pPr>
      <w:r>
        <w:t xml:space="preserve">existing improvement programmes.</w:t>
      </w:r>
    </w:p>
    <w:p>
      <w:pPr>
        <w:pStyle w:val="FirstParagraph"/>
      </w:pPr>
      <w:r>
        <w:t xml:space="preserve">Map:</w:t>
      </w:r>
    </w:p>
    <w:p>
      <w:pPr>
        <w:pStyle w:val="Compact"/>
        <w:numPr>
          <w:ilvl w:val="0"/>
          <w:numId w:val="1048"/>
        </w:numPr>
      </w:pPr>
      <w:r>
        <w:t xml:space="preserve">workforce structure and skills;</w:t>
      </w:r>
    </w:p>
    <w:p>
      <w:pPr>
        <w:pStyle w:val="Compact"/>
        <w:numPr>
          <w:ilvl w:val="0"/>
          <w:numId w:val="1048"/>
        </w:numPr>
      </w:pPr>
      <w:r>
        <w:t xml:space="preserve">organisational layers;</w:t>
      </w:r>
    </w:p>
    <w:p>
      <w:pPr>
        <w:pStyle w:val="Compact"/>
        <w:numPr>
          <w:ilvl w:val="0"/>
          <w:numId w:val="1048"/>
        </w:numPr>
      </w:pPr>
      <w:r>
        <w:t xml:space="preserve">technology platforms;</w:t>
      </w:r>
    </w:p>
    <w:p>
      <w:pPr>
        <w:pStyle w:val="Compact"/>
        <w:numPr>
          <w:ilvl w:val="0"/>
          <w:numId w:val="1048"/>
        </w:numPr>
      </w:pPr>
      <w:r>
        <w:t xml:space="preserve">data domains and integrations;</w:t>
      </w:r>
    </w:p>
    <w:p>
      <w:pPr>
        <w:pStyle w:val="Compact"/>
        <w:numPr>
          <w:ilvl w:val="0"/>
          <w:numId w:val="1048"/>
        </w:numPr>
      </w:pPr>
      <w:r>
        <w:t xml:space="preserve">cyber and resilience;</w:t>
      </w:r>
    </w:p>
    <w:p>
      <w:pPr>
        <w:pStyle w:val="Compact"/>
        <w:numPr>
          <w:ilvl w:val="0"/>
          <w:numId w:val="1048"/>
        </w:numPr>
      </w:pPr>
      <w:r>
        <w:t xml:space="preserve">suppliers and contracts;</w:t>
      </w:r>
    </w:p>
    <w:p>
      <w:pPr>
        <w:pStyle w:val="Compact"/>
        <w:numPr>
          <w:ilvl w:val="0"/>
          <w:numId w:val="1048"/>
        </w:numPr>
      </w:pPr>
      <w:r>
        <w:t xml:space="preserve">procurement constraints;</w:t>
      </w:r>
    </w:p>
    <w:p>
      <w:pPr>
        <w:pStyle w:val="Compact"/>
        <w:numPr>
          <w:ilvl w:val="0"/>
          <w:numId w:val="1048"/>
        </w:numPr>
      </w:pPr>
      <w:r>
        <w:t xml:space="preserve">platform modernisation and retirement.</w:t>
      </w:r>
    </w:p>
    <w:bookmarkEnd w:id="86"/>
    <w:bookmarkStart w:id="87" w:name="mandatory-outputs-7"/>
    <w:p>
      <w:pPr>
        <w:pStyle w:val="Heading2"/>
      </w:pPr>
      <w:r>
        <w:t xml:space="preserve">Mandatory outputs</w:t>
      </w:r>
    </w:p>
    <w:p>
      <w:pPr>
        <w:pStyle w:val="Compact"/>
        <w:numPr>
          <w:ilvl w:val="0"/>
          <w:numId w:val="1049"/>
        </w:numPr>
      </w:pPr>
      <w:r>
        <w:t xml:space="preserve">value-stream map;</w:t>
      </w:r>
    </w:p>
    <w:p>
      <w:pPr>
        <w:pStyle w:val="Compact"/>
        <w:numPr>
          <w:ilvl w:val="0"/>
          <w:numId w:val="1049"/>
        </w:numPr>
      </w:pPr>
      <w:r>
        <w:t xml:space="preserve">process-mechanics cards;</w:t>
      </w:r>
    </w:p>
    <w:p>
      <w:pPr>
        <w:pStyle w:val="Compact"/>
        <w:numPr>
          <w:ilvl w:val="0"/>
          <w:numId w:val="1049"/>
        </w:numPr>
      </w:pPr>
      <w:r>
        <w:t xml:space="preserve">workforce and capability map;</w:t>
      </w:r>
    </w:p>
    <w:p>
      <w:pPr>
        <w:pStyle w:val="Compact"/>
        <w:numPr>
          <w:ilvl w:val="0"/>
          <w:numId w:val="1049"/>
        </w:numPr>
      </w:pPr>
      <w:r>
        <w:t xml:space="preserve">technology and data platform map;</w:t>
      </w:r>
    </w:p>
    <w:p>
      <w:pPr>
        <w:pStyle w:val="Compact"/>
        <w:numPr>
          <w:ilvl w:val="0"/>
          <w:numId w:val="1049"/>
        </w:numPr>
      </w:pPr>
      <w:r>
        <w:t xml:space="preserve">cyber and resilience map;</w:t>
      </w:r>
    </w:p>
    <w:p>
      <w:pPr>
        <w:pStyle w:val="Compact"/>
        <w:numPr>
          <w:ilvl w:val="0"/>
          <w:numId w:val="1049"/>
        </w:numPr>
      </w:pPr>
      <w:r>
        <w:t xml:space="preserve">supplier and contract map;</w:t>
      </w:r>
    </w:p>
    <w:p>
      <w:pPr>
        <w:pStyle w:val="Compact"/>
        <w:numPr>
          <w:ilvl w:val="0"/>
          <w:numId w:val="1049"/>
        </w:numPr>
      </w:pPr>
      <w:r>
        <w:t xml:space="preserve">failure-demand and leakage map;</w:t>
      </w:r>
    </w:p>
    <w:p>
      <w:pPr>
        <w:pStyle w:val="Compact"/>
        <w:numPr>
          <w:ilvl w:val="0"/>
          <w:numId w:val="1049"/>
        </w:numPr>
      </w:pPr>
      <w:r>
        <w:t xml:space="preserve">platform-to-financial causal traces.</w:t>
      </w:r>
    </w:p>
    <w:bookmarkEnd w:id="87"/>
    <w:bookmarkStart w:id="88" w:name="exit-criteria-7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50"/>
        </w:numPr>
      </w:pPr>
      <w:r>
        <w:t xml:space="preserve">material financial outcomes are connected to operating mechanisms;</w:t>
      </w:r>
    </w:p>
    <w:p>
      <w:pPr>
        <w:pStyle w:val="Compact"/>
        <w:numPr>
          <w:ilvl w:val="0"/>
          <w:numId w:val="1050"/>
        </w:numPr>
      </w:pPr>
      <w:r>
        <w:t xml:space="preserve">material platforms and suppliers have named business dependencies;</w:t>
      </w:r>
    </w:p>
    <w:p>
      <w:pPr>
        <w:pStyle w:val="Compact"/>
        <w:numPr>
          <w:ilvl w:val="0"/>
          <w:numId w:val="1050"/>
        </w:numPr>
      </w:pPr>
      <w:r>
        <w:t xml:space="preserve">workforce and process constraints are evidenced;</w:t>
      </w:r>
    </w:p>
    <w:p>
      <w:pPr>
        <w:pStyle w:val="Compact"/>
        <w:numPr>
          <w:ilvl w:val="0"/>
          <w:numId w:val="1050"/>
        </w:numPr>
      </w:pPr>
      <w:r>
        <w:t xml:space="preserve">generic transformation descriptions have been eliminated.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Xfaa6c45797bc81b8da106fb79656ca0dd32e803"/>
    <w:p>
      <w:pPr>
        <w:pStyle w:val="Heading1"/>
      </w:pPr>
      <w:r>
        <w:t xml:space="preserve">Phase 8 — Existing change and execution behaviour</w:t>
      </w:r>
    </w:p>
    <w:bookmarkStart w:id="90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Determine what is already changing and whether the enterprise can execute its strategy.</w:t>
      </w:r>
    </w:p>
    <w:bookmarkEnd w:id="90"/>
    <w:bookmarkStart w:id="91" w:name="required-work-8"/>
    <w:p>
      <w:pPr>
        <w:pStyle w:val="Heading2"/>
      </w:pPr>
      <w:r>
        <w:t xml:space="preserve">Required work</w:t>
      </w:r>
    </w:p>
    <w:p>
      <w:pPr>
        <w:pStyle w:val="FirstParagraph"/>
      </w:pPr>
      <w:r>
        <w:t xml:space="preserve">Map material programmes:</w:t>
      </w:r>
    </w:p>
    <w:p>
      <w:pPr>
        <w:pStyle w:val="Compact"/>
        <w:numPr>
          <w:ilvl w:val="0"/>
          <w:numId w:val="1051"/>
        </w:numPr>
      </w:pPr>
      <w:r>
        <w:t xml:space="preserve">objectives;</w:t>
      </w:r>
    </w:p>
    <w:p>
      <w:pPr>
        <w:pStyle w:val="Compact"/>
        <w:numPr>
          <w:ilvl w:val="0"/>
          <w:numId w:val="1051"/>
        </w:numPr>
      </w:pPr>
      <w:r>
        <w:t xml:space="preserve">sponsor;</w:t>
      </w:r>
    </w:p>
    <w:p>
      <w:pPr>
        <w:pStyle w:val="Compact"/>
        <w:numPr>
          <w:ilvl w:val="0"/>
          <w:numId w:val="1051"/>
        </w:numPr>
      </w:pPr>
      <w:r>
        <w:t xml:space="preserve">investment;</w:t>
      </w:r>
    </w:p>
    <w:p>
      <w:pPr>
        <w:pStyle w:val="Compact"/>
        <w:numPr>
          <w:ilvl w:val="0"/>
          <w:numId w:val="1051"/>
        </w:numPr>
      </w:pPr>
      <w:r>
        <w:t xml:space="preserve">milestones;</w:t>
      </w:r>
    </w:p>
    <w:p>
      <w:pPr>
        <w:pStyle w:val="Compact"/>
        <w:numPr>
          <w:ilvl w:val="0"/>
          <w:numId w:val="1051"/>
        </w:numPr>
      </w:pPr>
      <w:r>
        <w:t xml:space="preserve">expected benefits;</w:t>
      </w:r>
    </w:p>
    <w:p>
      <w:pPr>
        <w:pStyle w:val="Compact"/>
        <w:numPr>
          <w:ilvl w:val="0"/>
          <w:numId w:val="1051"/>
        </w:numPr>
      </w:pPr>
      <w:r>
        <w:t xml:space="preserve">delivery evidence;</w:t>
      </w:r>
    </w:p>
    <w:p>
      <w:pPr>
        <w:pStyle w:val="Compact"/>
        <w:numPr>
          <w:ilvl w:val="0"/>
          <w:numId w:val="1051"/>
        </w:numPr>
      </w:pPr>
      <w:r>
        <w:t xml:space="preserve">suppliers;</w:t>
      </w:r>
    </w:p>
    <w:p>
      <w:pPr>
        <w:pStyle w:val="Compact"/>
        <w:numPr>
          <w:ilvl w:val="0"/>
          <w:numId w:val="1051"/>
        </w:numPr>
      </w:pPr>
      <w:r>
        <w:t xml:space="preserve">workforce dependencies;</w:t>
      </w:r>
    </w:p>
    <w:p>
      <w:pPr>
        <w:pStyle w:val="Compact"/>
        <w:numPr>
          <w:ilvl w:val="0"/>
          <w:numId w:val="1051"/>
        </w:numPr>
      </w:pPr>
      <w:r>
        <w:t xml:space="preserve">realised benefits;</w:t>
      </w:r>
    </w:p>
    <w:p>
      <w:pPr>
        <w:pStyle w:val="Compact"/>
        <w:numPr>
          <w:ilvl w:val="0"/>
          <w:numId w:val="1051"/>
        </w:numPr>
      </w:pPr>
      <w:r>
        <w:t xml:space="preserve">delays or scope changes.</w:t>
      </w:r>
    </w:p>
    <w:p>
      <w:pPr>
        <w:pStyle w:val="FirstParagraph"/>
      </w:pPr>
      <w:r>
        <w:t xml:space="preserve">Assess enterprise behaviour:</w:t>
      </w:r>
    </w:p>
    <w:p>
      <w:pPr>
        <w:pStyle w:val="Compact"/>
        <w:numPr>
          <w:ilvl w:val="0"/>
          <w:numId w:val="1052"/>
        </w:numPr>
      </w:pPr>
      <w:r>
        <w:t xml:space="preserve">cost discipline;</w:t>
      </w:r>
    </w:p>
    <w:p>
      <w:pPr>
        <w:pStyle w:val="Compact"/>
        <w:numPr>
          <w:ilvl w:val="0"/>
          <w:numId w:val="1052"/>
        </w:numPr>
      </w:pPr>
      <w:r>
        <w:t xml:space="preserve">capital discipline;</w:t>
      </w:r>
    </w:p>
    <w:p>
      <w:pPr>
        <w:pStyle w:val="Compact"/>
        <w:numPr>
          <w:ilvl w:val="0"/>
          <w:numId w:val="1052"/>
        </w:numPr>
      </w:pPr>
      <w:r>
        <w:t xml:space="preserve">transformation appetite;</w:t>
      </w:r>
    </w:p>
    <w:p>
      <w:pPr>
        <w:pStyle w:val="Compact"/>
        <w:numPr>
          <w:ilvl w:val="0"/>
          <w:numId w:val="1052"/>
        </w:numPr>
      </w:pPr>
      <w:r>
        <w:t xml:space="preserve">risk appetite;</w:t>
      </w:r>
    </w:p>
    <w:p>
      <w:pPr>
        <w:pStyle w:val="Compact"/>
        <w:numPr>
          <w:ilvl w:val="0"/>
          <w:numId w:val="1052"/>
        </w:numPr>
      </w:pPr>
      <w:r>
        <w:t xml:space="preserve">centralisation;</w:t>
      </w:r>
    </w:p>
    <w:p>
      <w:pPr>
        <w:pStyle w:val="Compact"/>
        <w:numPr>
          <w:ilvl w:val="0"/>
          <w:numId w:val="1052"/>
        </w:numPr>
      </w:pPr>
      <w:r>
        <w:t xml:space="preserve">decision velocity;</w:t>
      </w:r>
    </w:p>
    <w:p>
      <w:pPr>
        <w:pStyle w:val="Compact"/>
        <w:numPr>
          <w:ilvl w:val="0"/>
          <w:numId w:val="1052"/>
        </w:numPr>
      </w:pPr>
      <w:r>
        <w:t xml:space="preserve">regulatory responsiveness;</w:t>
      </w:r>
    </w:p>
    <w:p>
      <w:pPr>
        <w:pStyle w:val="Compact"/>
        <w:numPr>
          <w:ilvl w:val="0"/>
          <w:numId w:val="1052"/>
        </w:numPr>
      </w:pPr>
      <w:r>
        <w:t xml:space="preserve">procurement behaviour;</w:t>
      </w:r>
    </w:p>
    <w:p>
      <w:pPr>
        <w:pStyle w:val="Compact"/>
        <w:numPr>
          <w:ilvl w:val="0"/>
          <w:numId w:val="1052"/>
        </w:numPr>
      </w:pPr>
      <w:r>
        <w:t xml:space="preserve">supplier loyalty;</w:t>
      </w:r>
    </w:p>
    <w:p>
      <w:pPr>
        <w:pStyle w:val="Compact"/>
        <w:numPr>
          <w:ilvl w:val="0"/>
          <w:numId w:val="1052"/>
        </w:numPr>
      </w:pPr>
      <w:r>
        <w:t xml:space="preserve">insourcing and outsourcing;</w:t>
      </w:r>
    </w:p>
    <w:p>
      <w:pPr>
        <w:pStyle w:val="Compact"/>
        <w:numPr>
          <w:ilvl w:val="0"/>
          <w:numId w:val="1052"/>
        </w:numPr>
      </w:pPr>
      <w:r>
        <w:t xml:space="preserve">leadership stability;</w:t>
      </w:r>
    </w:p>
    <w:p>
      <w:pPr>
        <w:pStyle w:val="Compact"/>
        <w:numPr>
          <w:ilvl w:val="0"/>
          <w:numId w:val="1052"/>
        </w:numPr>
      </w:pPr>
      <w:r>
        <w:t xml:space="preserve">tolerance for disruption;</w:t>
      </w:r>
    </w:p>
    <w:p>
      <w:pPr>
        <w:pStyle w:val="Compact"/>
        <w:numPr>
          <w:ilvl w:val="0"/>
          <w:numId w:val="1052"/>
        </w:numPr>
      </w:pPr>
      <w:r>
        <w:t xml:space="preserve">programme-delivery history.</w:t>
      </w:r>
    </w:p>
    <w:bookmarkEnd w:id="91"/>
    <w:bookmarkStart w:id="92" w:name="mandatory-outputs-8"/>
    <w:p>
      <w:pPr>
        <w:pStyle w:val="Heading2"/>
      </w:pPr>
      <w:r>
        <w:t xml:space="preserve">Mandatory outputs</w:t>
      </w:r>
    </w:p>
    <w:p>
      <w:pPr>
        <w:pStyle w:val="Compact"/>
        <w:numPr>
          <w:ilvl w:val="0"/>
          <w:numId w:val="1053"/>
        </w:numPr>
      </w:pPr>
      <w:r>
        <w:t xml:space="preserve">transformation-portfolio map;</w:t>
      </w:r>
    </w:p>
    <w:p>
      <w:pPr>
        <w:pStyle w:val="Compact"/>
        <w:numPr>
          <w:ilvl w:val="0"/>
          <w:numId w:val="1053"/>
        </w:numPr>
      </w:pPr>
      <w:r>
        <w:t xml:space="preserve">programme-benefit tracker;</w:t>
      </w:r>
    </w:p>
    <w:p>
      <w:pPr>
        <w:pStyle w:val="Compact"/>
        <w:numPr>
          <w:ilvl w:val="0"/>
          <w:numId w:val="1053"/>
        </w:numPr>
      </w:pPr>
      <w:r>
        <w:t xml:space="preserve">commitment-versus-delivery register;</w:t>
      </w:r>
    </w:p>
    <w:p>
      <w:pPr>
        <w:pStyle w:val="Compact"/>
        <w:numPr>
          <w:ilvl w:val="0"/>
          <w:numId w:val="1053"/>
        </w:numPr>
      </w:pPr>
      <w:r>
        <w:t xml:space="preserve">enterprise behaviour profile;</w:t>
      </w:r>
    </w:p>
    <w:p>
      <w:pPr>
        <w:pStyle w:val="Compact"/>
        <w:numPr>
          <w:ilvl w:val="0"/>
          <w:numId w:val="1053"/>
        </w:numPr>
      </w:pPr>
      <w:r>
        <w:t xml:space="preserve">execution-capacity assessment;</w:t>
      </w:r>
    </w:p>
    <w:p>
      <w:pPr>
        <w:pStyle w:val="Compact"/>
        <w:numPr>
          <w:ilvl w:val="0"/>
          <w:numId w:val="1053"/>
        </w:numPr>
      </w:pPr>
      <w:r>
        <w:t xml:space="preserve">transformation-friction map;</w:t>
      </w:r>
    </w:p>
    <w:p>
      <w:pPr>
        <w:pStyle w:val="Compact"/>
        <w:numPr>
          <w:ilvl w:val="0"/>
          <w:numId w:val="1053"/>
        </w:numPr>
      </w:pPr>
      <w:r>
        <w:t xml:space="preserve">procurement and incumbency assessment.</w:t>
      </w:r>
    </w:p>
    <w:bookmarkEnd w:id="92"/>
    <w:bookmarkStart w:id="93" w:name="exit-criteria-8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54"/>
        </w:numPr>
      </w:pPr>
      <w:r>
        <w:t xml:space="preserve">material current programmes and incumbents are identified;</w:t>
      </w:r>
    </w:p>
    <w:p>
      <w:pPr>
        <w:pStyle w:val="Compact"/>
        <w:numPr>
          <w:ilvl w:val="0"/>
          <w:numId w:val="1054"/>
        </w:numPr>
      </w:pPr>
      <w:r>
        <w:t xml:space="preserve">benefit claims are separated from realised evidence;</w:t>
      </w:r>
    </w:p>
    <w:p>
      <w:pPr>
        <w:pStyle w:val="Compact"/>
        <w:numPr>
          <w:ilvl w:val="0"/>
          <w:numId w:val="1054"/>
        </w:numPr>
      </w:pPr>
      <w:r>
        <w:t xml:space="preserve">behavioural judgements include contrary evidence;</w:t>
      </w:r>
    </w:p>
    <w:p>
      <w:pPr>
        <w:pStyle w:val="Compact"/>
        <w:numPr>
          <w:ilvl w:val="0"/>
          <w:numId w:val="1054"/>
        </w:numPr>
      </w:pPr>
      <w:r>
        <w:t xml:space="preserve">execution constraints are linked to strategy and forecasting.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phase-9-next-financial-release-model"/>
    <w:p>
      <w:pPr>
        <w:pStyle w:val="Heading1"/>
      </w:pPr>
      <w:r>
        <w:t xml:space="preserve">Phase 9 — Next-financial-release model</w:t>
      </w:r>
    </w:p>
    <w:bookmarkStart w:id="95" w:name="purpose-1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Create a driver-based forecast that can later be scored against actual results.</w:t>
      </w:r>
    </w:p>
    <w:bookmarkEnd w:id="95"/>
    <w:bookmarkStart w:id="96" w:name="required-work-9"/>
    <w:p>
      <w:pPr>
        <w:pStyle w:val="Heading2"/>
      </w:pPr>
      <w:r>
        <w:t xml:space="preserve">Required work</w:t>
      </w:r>
    </w:p>
    <w:p>
      <w:pPr>
        <w:pStyle w:val="FirstParagraph"/>
      </w:pPr>
      <w:r>
        <w:t xml:space="preserve">For every material forecast object, record:</w:t>
      </w:r>
    </w:p>
    <w:p>
      <w:pPr>
        <w:pStyle w:val="Compact"/>
        <w:numPr>
          <w:ilvl w:val="0"/>
          <w:numId w:val="1055"/>
        </w:numPr>
      </w:pPr>
      <w:r>
        <w:t xml:space="preserve">metric or KPI;</w:t>
      </w:r>
    </w:p>
    <w:p>
      <w:pPr>
        <w:pStyle w:val="Compact"/>
        <w:numPr>
          <w:ilvl w:val="0"/>
          <w:numId w:val="1055"/>
        </w:numPr>
      </w:pPr>
      <w:r>
        <w:t xml:space="preserve">current reported value;</w:t>
      </w:r>
    </w:p>
    <w:p>
      <w:pPr>
        <w:pStyle w:val="Compact"/>
        <w:numPr>
          <w:ilvl w:val="0"/>
          <w:numId w:val="1055"/>
        </w:numPr>
      </w:pPr>
      <w:r>
        <w:t xml:space="preserve">accounting basis;</w:t>
      </w:r>
    </w:p>
    <w:p>
      <w:pPr>
        <w:pStyle w:val="Compact"/>
        <w:numPr>
          <w:ilvl w:val="0"/>
          <w:numId w:val="1055"/>
        </w:numPr>
      </w:pPr>
      <w:r>
        <w:t xml:space="preserve">management guidance;</w:t>
      </w:r>
    </w:p>
    <w:p>
      <w:pPr>
        <w:pStyle w:val="Compact"/>
        <w:numPr>
          <w:ilvl w:val="0"/>
          <w:numId w:val="1055"/>
        </w:numPr>
      </w:pPr>
      <w:r>
        <w:t xml:space="preserve">management target;</w:t>
      </w:r>
    </w:p>
    <w:p>
      <w:pPr>
        <w:pStyle w:val="Compact"/>
        <w:numPr>
          <w:ilvl w:val="0"/>
          <w:numId w:val="1055"/>
        </w:numPr>
      </w:pPr>
      <w:r>
        <w:t xml:space="preserve">external expectation where used;</w:t>
      </w:r>
    </w:p>
    <w:p>
      <w:pPr>
        <w:pStyle w:val="Compact"/>
        <w:numPr>
          <w:ilvl w:val="0"/>
          <w:numId w:val="1055"/>
        </w:numPr>
      </w:pPr>
      <w:r>
        <w:t xml:space="preserve">Twin baseline;</w:t>
      </w:r>
    </w:p>
    <w:p>
      <w:pPr>
        <w:pStyle w:val="Compact"/>
        <w:numPr>
          <w:ilvl w:val="0"/>
          <w:numId w:val="1055"/>
        </w:numPr>
      </w:pPr>
      <w:r>
        <w:t xml:space="preserve">upside scenario;</w:t>
      </w:r>
    </w:p>
    <w:p>
      <w:pPr>
        <w:pStyle w:val="Compact"/>
        <w:numPr>
          <w:ilvl w:val="0"/>
          <w:numId w:val="1055"/>
        </w:numPr>
      </w:pPr>
      <w:r>
        <w:t xml:space="preserve">downside scenario;</w:t>
      </w:r>
    </w:p>
    <w:p>
      <w:pPr>
        <w:pStyle w:val="Compact"/>
        <w:numPr>
          <w:ilvl w:val="0"/>
          <w:numId w:val="1055"/>
        </w:numPr>
      </w:pPr>
      <w:r>
        <w:t xml:space="preserve">operating drivers;</w:t>
      </w:r>
    </w:p>
    <w:p>
      <w:pPr>
        <w:pStyle w:val="Compact"/>
        <w:numPr>
          <w:ilvl w:val="0"/>
          <w:numId w:val="1055"/>
        </w:numPr>
      </w:pPr>
      <w:r>
        <w:t xml:space="preserve">leading indicators;</w:t>
      </w:r>
    </w:p>
    <w:p>
      <w:pPr>
        <w:pStyle w:val="Compact"/>
        <w:numPr>
          <w:ilvl w:val="0"/>
          <w:numId w:val="1055"/>
        </w:numPr>
      </w:pPr>
      <w:r>
        <w:t xml:space="preserve">management interventions;</w:t>
      </w:r>
    </w:p>
    <w:p>
      <w:pPr>
        <w:pStyle w:val="Compact"/>
        <w:numPr>
          <w:ilvl w:val="0"/>
          <w:numId w:val="1055"/>
        </w:numPr>
      </w:pPr>
      <w:r>
        <w:t xml:space="preserve">contrary evidence;</w:t>
      </w:r>
    </w:p>
    <w:p>
      <w:pPr>
        <w:pStyle w:val="Compact"/>
        <w:numPr>
          <w:ilvl w:val="0"/>
          <w:numId w:val="1055"/>
        </w:numPr>
      </w:pPr>
      <w:r>
        <w:t xml:space="preserve">confidence;</w:t>
      </w:r>
    </w:p>
    <w:p>
      <w:pPr>
        <w:pStyle w:val="Compact"/>
        <w:numPr>
          <w:ilvl w:val="0"/>
          <w:numId w:val="1055"/>
        </w:numPr>
      </w:pPr>
      <w:r>
        <w:t xml:space="preserve">update triggers.</w:t>
      </w:r>
    </w:p>
    <w:p>
      <w:pPr>
        <w:pStyle w:val="FirstParagraph"/>
      </w:pPr>
      <w:r>
        <w:t xml:space="preserve">The forecast SHOULD use this bridge:</w:t>
      </w:r>
    </w:p>
    <w:p>
      <w:pPr>
        <w:pStyle w:val="SourceCode"/>
      </w:pPr>
      <w:r>
        <w:rPr>
          <w:rStyle w:val="VerbatimChar"/>
        </w:rPr>
        <w:t xml:space="preserve">Current outcome</w:t>
      </w:r>
      <w:r>
        <w:br/>
      </w:r>
      <w:r>
        <w:rPr>
          <w:rStyle w:val="VerbatimChar"/>
        </w:rPr>
        <w:t xml:space="preserve">+ customer movement</w:t>
      </w:r>
      <w:r>
        <w:br/>
      </w:r>
      <w:r>
        <w:rPr>
          <w:rStyle w:val="VerbatimChar"/>
        </w:rPr>
        <w:t xml:space="preserve">+ volume</w:t>
      </w:r>
      <w:r>
        <w:br/>
      </w:r>
      <w:r>
        <w:rPr>
          <w:rStyle w:val="VerbatimChar"/>
        </w:rPr>
        <w:t xml:space="preserve">+ price</w:t>
      </w:r>
      <w:r>
        <w:br/>
      </w:r>
      <w:r>
        <w:rPr>
          <w:rStyle w:val="VerbatimChar"/>
        </w:rPr>
        <w:t xml:space="preserve">+ mix</w:t>
      </w:r>
      <w:r>
        <w:br/>
      </w:r>
      <w:r>
        <w:rPr>
          <w:rStyle w:val="VerbatimChar"/>
        </w:rPr>
        <w:t xml:space="preserve">+ productivity</w:t>
      </w:r>
      <w:r>
        <w:br/>
      </w:r>
      <w:r>
        <w:rPr>
          <w:rStyle w:val="VerbatimChar"/>
        </w:rPr>
        <w:t xml:space="preserve">+ programme benefits</w:t>
      </w:r>
      <w:r>
        <w:br/>
      </w:r>
      <w:r>
        <w:rPr>
          <w:rStyle w:val="VerbatimChar"/>
        </w:rPr>
        <w:t xml:space="preserve">+ inflation</w:t>
      </w:r>
      <w:r>
        <w:br/>
      </w:r>
      <w:r>
        <w:rPr>
          <w:rStyle w:val="VerbatimChar"/>
        </w:rPr>
        <w:t xml:space="preserve">+ workforce movement</w:t>
      </w:r>
      <w:r>
        <w:br/>
      </w:r>
      <w:r>
        <w:rPr>
          <w:rStyle w:val="VerbatimChar"/>
        </w:rPr>
        <w:t xml:space="preserve">+ supplier movement</w:t>
      </w:r>
      <w:r>
        <w:br/>
      </w:r>
      <w:r>
        <w:rPr>
          <w:rStyle w:val="VerbatimChar"/>
        </w:rPr>
        <w:t xml:space="preserve">+ capital and depreciation</w:t>
      </w:r>
      <w:r>
        <w:br/>
      </w:r>
      <w:r>
        <w:rPr>
          <w:rStyle w:val="VerbatimChar"/>
        </w:rPr>
        <w:t xml:space="preserve">+ regulation</w:t>
      </w:r>
      <w:r>
        <w:br/>
      </w:r>
      <w:r>
        <w:rPr>
          <w:rStyle w:val="VerbatimChar"/>
        </w:rPr>
        <w:t xml:space="preserve">+ macro conditions</w:t>
      </w:r>
      <w:r>
        <w:br/>
      </w:r>
      <w:r>
        <w:rPr>
          <w:rStyle w:val="VerbatimChar"/>
        </w:rPr>
        <w:t xml:space="preserve">= expected next-period range</w:t>
      </w:r>
    </w:p>
    <w:bookmarkEnd w:id="96"/>
    <w:bookmarkStart w:id="97" w:name="mandatory-outputs-9"/>
    <w:p>
      <w:pPr>
        <w:pStyle w:val="Heading2"/>
      </w:pPr>
      <w:r>
        <w:t xml:space="preserve">Mandatory outputs</w:t>
      </w:r>
    </w:p>
    <w:p>
      <w:pPr>
        <w:pStyle w:val="Compact"/>
        <w:numPr>
          <w:ilvl w:val="0"/>
          <w:numId w:val="1056"/>
        </w:numPr>
      </w:pPr>
      <w:r>
        <w:t xml:space="preserve">next-release driver bridge;</w:t>
      </w:r>
    </w:p>
    <w:p>
      <w:pPr>
        <w:pStyle w:val="Compact"/>
        <w:numPr>
          <w:ilvl w:val="0"/>
          <w:numId w:val="1056"/>
        </w:numPr>
      </w:pPr>
      <w:r>
        <w:t xml:space="preserve">baseline, upside and downside scenarios;</w:t>
      </w:r>
    </w:p>
    <w:p>
      <w:pPr>
        <w:pStyle w:val="Compact"/>
        <w:numPr>
          <w:ilvl w:val="0"/>
          <w:numId w:val="1056"/>
        </w:numPr>
      </w:pPr>
      <w:r>
        <w:t xml:space="preserve">leading-indicator register;</w:t>
      </w:r>
    </w:p>
    <w:p>
      <w:pPr>
        <w:pStyle w:val="Compact"/>
        <w:numPr>
          <w:ilvl w:val="0"/>
          <w:numId w:val="1056"/>
        </w:numPr>
      </w:pPr>
      <w:r>
        <w:t xml:space="preserve">promise tracker;</w:t>
      </w:r>
    </w:p>
    <w:p>
      <w:pPr>
        <w:pStyle w:val="Compact"/>
        <w:numPr>
          <w:ilvl w:val="0"/>
          <w:numId w:val="1056"/>
        </w:numPr>
      </w:pPr>
      <w:r>
        <w:t xml:space="preserve">forecast contradiction register;</w:t>
      </w:r>
    </w:p>
    <w:p>
      <w:pPr>
        <w:pStyle w:val="Compact"/>
        <w:numPr>
          <w:ilvl w:val="0"/>
          <w:numId w:val="1056"/>
        </w:numPr>
      </w:pPr>
      <w:r>
        <w:t xml:space="preserve">expected management narrative;</w:t>
      </w:r>
    </w:p>
    <w:p>
      <w:pPr>
        <w:pStyle w:val="Compact"/>
        <w:numPr>
          <w:ilvl w:val="0"/>
          <w:numId w:val="1056"/>
        </w:numPr>
      </w:pPr>
      <w:r>
        <w:t xml:space="preserve">update-trigger list.</w:t>
      </w:r>
    </w:p>
    <w:bookmarkEnd w:id="97"/>
    <w:bookmarkStart w:id="98" w:name="exit-criteria-9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57"/>
        </w:numPr>
      </w:pPr>
      <w:r>
        <w:t xml:space="preserve">actuals, guidance, targets, consensus and Twin forecast are separated;</w:t>
      </w:r>
    </w:p>
    <w:p>
      <w:pPr>
        <w:pStyle w:val="Compact"/>
        <w:numPr>
          <w:ilvl w:val="0"/>
          <w:numId w:val="1057"/>
        </w:numPr>
      </w:pPr>
      <w:r>
        <w:t xml:space="preserve">forecast ranges are tied to operating drivers;</w:t>
      </w:r>
    </w:p>
    <w:p>
      <w:pPr>
        <w:pStyle w:val="Compact"/>
        <w:numPr>
          <w:ilvl w:val="0"/>
          <w:numId w:val="1057"/>
        </w:numPr>
      </w:pPr>
      <w:r>
        <w:t xml:space="preserve">false numerical precision has been removed;</w:t>
      </w:r>
    </w:p>
    <w:p>
      <w:pPr>
        <w:pStyle w:val="Compact"/>
        <w:numPr>
          <w:ilvl w:val="0"/>
          <w:numId w:val="1057"/>
        </w:numPr>
      </w:pPr>
      <w:r>
        <w:t xml:space="preserve">the expected management narrative is supported by evidence;</w:t>
      </w:r>
    </w:p>
    <w:p>
      <w:pPr>
        <w:pStyle w:val="Compact"/>
        <w:numPr>
          <w:ilvl w:val="0"/>
          <w:numId w:val="1057"/>
        </w:numPr>
      </w:pPr>
      <w:r>
        <w:t xml:space="preserve">conditions that would change the forecast are explicit.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Xca85d23712bd5a867c80855a04c3a80b3c405fe"/>
    <w:p>
      <w:pPr>
        <w:pStyle w:val="Heading1"/>
      </w:pPr>
      <w:r>
        <w:t xml:space="preserve">Phase 10 — Transformation hypothesis generation</w:t>
      </w:r>
    </w:p>
    <w:bookmarkStart w:id="100" w:name="purpose-1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Generate enterprise-specific transformation hypotheses only after the operating mechanics are sufficiently understood.</w:t>
      </w:r>
    </w:p>
    <w:bookmarkEnd w:id="100"/>
    <w:bookmarkStart w:id="101" w:name="required-work-10"/>
    <w:p>
      <w:pPr>
        <w:pStyle w:val="Heading2"/>
      </w:pPr>
      <w:r>
        <w:t xml:space="preserve">Required work</w:t>
      </w:r>
    </w:p>
    <w:p>
      <w:pPr>
        <w:pStyle w:val="FirstParagraph"/>
      </w:pPr>
      <w:r>
        <w:t xml:space="preserve">Each candidate MUST identify:</w:t>
      </w:r>
    </w:p>
    <w:p>
      <w:pPr>
        <w:pStyle w:val="Compact"/>
        <w:numPr>
          <w:ilvl w:val="0"/>
          <w:numId w:val="1058"/>
        </w:numPr>
      </w:pPr>
      <w:r>
        <w:t xml:space="preserve">board or external pressure;</w:t>
      </w:r>
    </w:p>
    <w:p>
      <w:pPr>
        <w:pStyle w:val="Compact"/>
        <w:numPr>
          <w:ilvl w:val="0"/>
          <w:numId w:val="1058"/>
        </w:numPr>
      </w:pPr>
      <w:r>
        <w:t xml:space="preserve">affected business unit;</w:t>
      </w:r>
    </w:p>
    <w:p>
      <w:pPr>
        <w:pStyle w:val="Compact"/>
        <w:numPr>
          <w:ilvl w:val="0"/>
          <w:numId w:val="1058"/>
        </w:numPr>
      </w:pPr>
      <w:r>
        <w:t xml:space="preserve">value pool;</w:t>
      </w:r>
    </w:p>
    <w:p>
      <w:pPr>
        <w:pStyle w:val="Compact"/>
        <w:numPr>
          <w:ilvl w:val="0"/>
          <w:numId w:val="1058"/>
        </w:numPr>
      </w:pPr>
      <w:r>
        <w:t xml:space="preserve">process or operating constraint;</w:t>
      </w:r>
    </w:p>
    <w:p>
      <w:pPr>
        <w:pStyle w:val="Compact"/>
        <w:numPr>
          <w:ilvl w:val="0"/>
          <w:numId w:val="1058"/>
        </w:numPr>
      </w:pPr>
      <w:r>
        <w:t xml:space="preserve">workforce, data, platform or supplier cause;</w:t>
      </w:r>
    </w:p>
    <w:p>
      <w:pPr>
        <w:pStyle w:val="Compact"/>
        <w:numPr>
          <w:ilvl w:val="0"/>
          <w:numId w:val="1058"/>
        </w:numPr>
      </w:pPr>
      <w:r>
        <w:t xml:space="preserve">operating KPI;</w:t>
      </w:r>
    </w:p>
    <w:p>
      <w:pPr>
        <w:pStyle w:val="Compact"/>
        <w:numPr>
          <w:ilvl w:val="0"/>
          <w:numId w:val="1058"/>
        </w:numPr>
      </w:pPr>
      <w:r>
        <w:t xml:space="preserve">financial, customer, operational or risk consequence;</w:t>
      </w:r>
    </w:p>
    <w:p>
      <w:pPr>
        <w:pStyle w:val="Compact"/>
        <w:numPr>
          <w:ilvl w:val="0"/>
          <w:numId w:val="1058"/>
        </w:numPr>
      </w:pPr>
      <w:r>
        <w:t xml:space="preserve">specific role for AI;</w:t>
      </w:r>
    </w:p>
    <w:p>
      <w:pPr>
        <w:pStyle w:val="Compact"/>
        <w:numPr>
          <w:ilvl w:val="0"/>
          <w:numId w:val="1058"/>
        </w:numPr>
      </w:pPr>
      <w:r>
        <w:t xml:space="preserve">non-AI dependencies;</w:t>
      </w:r>
    </w:p>
    <w:p>
      <w:pPr>
        <w:pStyle w:val="Compact"/>
        <w:numPr>
          <w:ilvl w:val="0"/>
          <w:numId w:val="1058"/>
        </w:numPr>
      </w:pPr>
      <w:r>
        <w:t xml:space="preserve">likely ownership;</w:t>
      </w:r>
    </w:p>
    <w:p>
      <w:pPr>
        <w:pStyle w:val="Compact"/>
        <w:numPr>
          <w:ilvl w:val="0"/>
          <w:numId w:val="1058"/>
        </w:numPr>
      </w:pPr>
      <w:r>
        <w:t xml:space="preserve">existing initiatives and incumbents;</w:t>
      </w:r>
    </w:p>
    <w:p>
      <w:pPr>
        <w:pStyle w:val="Compact"/>
        <w:numPr>
          <w:ilvl w:val="0"/>
          <w:numId w:val="1058"/>
        </w:numPr>
      </w:pPr>
      <w:r>
        <w:t xml:space="preserve">commercial accessibility;</w:t>
      </w:r>
    </w:p>
    <w:p>
      <w:pPr>
        <w:pStyle w:val="Compact"/>
        <w:numPr>
          <w:ilvl w:val="0"/>
          <w:numId w:val="1058"/>
        </w:numPr>
      </w:pPr>
      <w:r>
        <w:t xml:space="preserve">supporting and contrary evidence;</w:t>
      </w:r>
    </w:p>
    <w:p>
      <w:pPr>
        <w:pStyle w:val="Compact"/>
        <w:numPr>
          <w:ilvl w:val="0"/>
          <w:numId w:val="1058"/>
        </w:numPr>
      </w:pPr>
      <w:r>
        <w:t xml:space="preserve">falsification conditions.</w:t>
      </w:r>
    </w:p>
    <w:bookmarkEnd w:id="101"/>
    <w:bookmarkStart w:id="102" w:name="mandatory-outputs-10"/>
    <w:p>
      <w:pPr>
        <w:pStyle w:val="Heading2"/>
      </w:pPr>
      <w:r>
        <w:t xml:space="preserve">Mandatory outputs</w:t>
      </w:r>
    </w:p>
    <w:p>
      <w:pPr>
        <w:pStyle w:val="Compact"/>
        <w:numPr>
          <w:ilvl w:val="0"/>
          <w:numId w:val="1059"/>
        </w:numPr>
      </w:pPr>
      <w:r>
        <w:t xml:space="preserve">transformation-thesis register;</w:t>
      </w:r>
    </w:p>
    <w:p>
      <w:pPr>
        <w:pStyle w:val="Compact"/>
        <w:numPr>
          <w:ilvl w:val="0"/>
          <w:numId w:val="1059"/>
        </w:numPr>
      </w:pPr>
      <w:r>
        <w:t xml:space="preserve">competing hypotheses;</w:t>
      </w:r>
    </w:p>
    <w:p>
      <w:pPr>
        <w:pStyle w:val="Compact"/>
        <w:numPr>
          <w:ilvl w:val="0"/>
          <w:numId w:val="1059"/>
        </w:numPr>
      </w:pPr>
      <w:r>
        <w:t xml:space="preserve">thesis rejection log;</w:t>
      </w:r>
    </w:p>
    <w:p>
      <w:pPr>
        <w:pStyle w:val="Compact"/>
        <w:numPr>
          <w:ilvl w:val="0"/>
          <w:numId w:val="1059"/>
        </w:numPr>
      </w:pPr>
      <w:r>
        <w:t xml:space="preserve">value-mechanism map;</w:t>
      </w:r>
    </w:p>
    <w:p>
      <w:pPr>
        <w:pStyle w:val="Compact"/>
        <w:numPr>
          <w:ilvl w:val="0"/>
          <w:numId w:val="1059"/>
        </w:numPr>
      </w:pPr>
      <w:r>
        <w:t xml:space="preserve">ownership map;</w:t>
      </w:r>
    </w:p>
    <w:p>
      <w:pPr>
        <w:pStyle w:val="Compact"/>
        <w:numPr>
          <w:ilvl w:val="0"/>
          <w:numId w:val="1059"/>
        </w:numPr>
      </w:pPr>
      <w:r>
        <w:t xml:space="preserve">accessibility assessment;</w:t>
      </w:r>
    </w:p>
    <w:p>
      <w:pPr>
        <w:pStyle w:val="Compact"/>
        <w:numPr>
          <w:ilvl w:val="0"/>
          <w:numId w:val="1059"/>
        </w:numPr>
      </w:pPr>
      <w:r>
        <w:t xml:space="preserve">validation-question register.</w:t>
      </w:r>
    </w:p>
    <w:bookmarkEnd w:id="102"/>
    <w:bookmarkStart w:id="103" w:name="exit-criteria-10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60"/>
        </w:numPr>
      </w:pPr>
      <w:r>
        <w:t xml:space="preserve">generic AI ideas have been rejected;</w:t>
      </w:r>
    </w:p>
    <w:p>
      <w:pPr>
        <w:pStyle w:val="Compact"/>
        <w:numPr>
          <w:ilvl w:val="0"/>
          <w:numId w:val="1060"/>
        </w:numPr>
      </w:pPr>
      <w:r>
        <w:t xml:space="preserve">each retained thesis names an enterprise mechanism;</w:t>
      </w:r>
    </w:p>
    <w:p>
      <w:pPr>
        <w:pStyle w:val="Compact"/>
        <w:numPr>
          <w:ilvl w:val="0"/>
          <w:numId w:val="1060"/>
        </w:numPr>
      </w:pPr>
      <w:r>
        <w:t xml:space="preserve">each retained thesis includes reasons it may be wrong;</w:t>
      </w:r>
    </w:p>
    <w:p>
      <w:pPr>
        <w:pStyle w:val="Compact"/>
        <w:numPr>
          <w:ilvl w:val="0"/>
          <w:numId w:val="1060"/>
        </w:numPr>
      </w:pPr>
      <w:r>
        <w:t xml:space="preserve">existing programmes and incumbents have been considered;</w:t>
      </w:r>
    </w:p>
    <w:p>
      <w:pPr>
        <w:pStyle w:val="Compact"/>
        <w:numPr>
          <w:ilvl w:val="0"/>
          <w:numId w:val="1060"/>
        </w:numPr>
      </w:pPr>
      <w:r>
        <w:t xml:space="preserve">inaccessible opportunities are downgraded to learning actions.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X6dcc8576ef851cf98c6ff3d4ea516beac50e01a"/>
    <w:p>
      <w:pPr>
        <w:pStyle w:val="Heading1"/>
      </w:pPr>
      <w:r>
        <w:t xml:space="preserve">Phase 11 — Flagship transformation blueprints</w:t>
      </w:r>
    </w:p>
    <w:bookmarkStart w:id="105" w:name="purpose-1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Develop the strongest hypotheses into complete enterprise transformation objects.</w:t>
      </w:r>
    </w:p>
    <w:bookmarkEnd w:id="105"/>
    <w:bookmarkStart w:id="106" w:name="required-fields"/>
    <w:p>
      <w:pPr>
        <w:pStyle w:val="Heading2"/>
      </w:pPr>
      <w:r>
        <w:t xml:space="preserve">Required fields</w:t>
      </w:r>
    </w:p>
    <w:p>
      <w:pPr>
        <w:pStyle w:val="FirstParagraph"/>
      </w:pPr>
      <w:r>
        <w:t xml:space="preserve">Each flagship transformation MUST contain:</w:t>
      </w:r>
    </w:p>
    <w:p>
      <w:pPr>
        <w:pStyle w:val="Compact"/>
        <w:numPr>
          <w:ilvl w:val="0"/>
          <w:numId w:val="1061"/>
        </w:numPr>
      </w:pPr>
      <w:r>
        <w:t xml:space="preserve">enterprise problem;</w:t>
      </w:r>
    </w:p>
    <w:p>
      <w:pPr>
        <w:pStyle w:val="Compact"/>
        <w:numPr>
          <w:ilvl w:val="0"/>
          <w:numId w:val="1061"/>
        </w:numPr>
      </w:pPr>
      <w:r>
        <w:t xml:space="preserve">board relevance;</w:t>
      </w:r>
    </w:p>
    <w:p>
      <w:pPr>
        <w:pStyle w:val="Compact"/>
        <w:numPr>
          <w:ilvl w:val="0"/>
          <w:numId w:val="1061"/>
        </w:numPr>
      </w:pPr>
      <w:r>
        <w:t xml:space="preserve">causal chain;</w:t>
      </w:r>
    </w:p>
    <w:p>
      <w:pPr>
        <w:pStyle w:val="Compact"/>
        <w:numPr>
          <w:ilvl w:val="0"/>
          <w:numId w:val="1061"/>
        </w:numPr>
      </w:pPr>
      <w:r>
        <w:t xml:space="preserve">affected business units;</w:t>
      </w:r>
    </w:p>
    <w:p>
      <w:pPr>
        <w:pStyle w:val="Compact"/>
        <w:numPr>
          <w:ilvl w:val="0"/>
          <w:numId w:val="1061"/>
        </w:numPr>
      </w:pPr>
      <w:r>
        <w:t xml:space="preserve">affected value pools;</w:t>
      </w:r>
    </w:p>
    <w:p>
      <w:pPr>
        <w:pStyle w:val="Compact"/>
        <w:numPr>
          <w:ilvl w:val="0"/>
          <w:numId w:val="1061"/>
        </w:numPr>
      </w:pPr>
      <w:r>
        <w:t xml:space="preserve">transformation proposition;</w:t>
      </w:r>
    </w:p>
    <w:p>
      <w:pPr>
        <w:pStyle w:val="Compact"/>
        <w:numPr>
          <w:ilvl w:val="0"/>
          <w:numId w:val="1061"/>
        </w:numPr>
      </w:pPr>
      <w:r>
        <w:t xml:space="preserve">specific AI role;</w:t>
      </w:r>
    </w:p>
    <w:p>
      <w:pPr>
        <w:pStyle w:val="Compact"/>
        <w:numPr>
          <w:ilvl w:val="0"/>
          <w:numId w:val="1061"/>
        </w:numPr>
      </w:pPr>
      <w:r>
        <w:t xml:space="preserve">non-AI dependencies;</w:t>
      </w:r>
    </w:p>
    <w:p>
      <w:pPr>
        <w:pStyle w:val="Compact"/>
        <w:numPr>
          <w:ilvl w:val="0"/>
          <w:numId w:val="1061"/>
        </w:numPr>
      </w:pPr>
      <w:r>
        <w:t xml:space="preserve">workforce and process impact;</w:t>
      </w:r>
    </w:p>
    <w:p>
      <w:pPr>
        <w:pStyle w:val="Compact"/>
        <w:numPr>
          <w:ilvl w:val="0"/>
          <w:numId w:val="1061"/>
        </w:numPr>
      </w:pPr>
      <w:r>
        <w:t xml:space="preserve">technology and data requirements;</w:t>
      </w:r>
    </w:p>
    <w:p>
      <w:pPr>
        <w:pStyle w:val="Compact"/>
        <w:numPr>
          <w:ilvl w:val="0"/>
          <w:numId w:val="1061"/>
        </w:numPr>
      </w:pPr>
      <w:r>
        <w:t xml:space="preserve">executive ownership;</w:t>
      </w:r>
    </w:p>
    <w:p>
      <w:pPr>
        <w:pStyle w:val="Compact"/>
        <w:numPr>
          <w:ilvl w:val="0"/>
          <w:numId w:val="1061"/>
        </w:numPr>
      </w:pPr>
      <w:r>
        <w:t xml:space="preserve">existing initiatives and incumbents;</w:t>
      </w:r>
    </w:p>
    <w:p>
      <w:pPr>
        <w:pStyle w:val="Compact"/>
        <w:numPr>
          <w:ilvl w:val="0"/>
          <w:numId w:val="1061"/>
        </w:numPr>
      </w:pPr>
      <w:r>
        <w:t xml:space="preserve">measurable outcomes;</w:t>
      </w:r>
    </w:p>
    <w:p>
      <w:pPr>
        <w:pStyle w:val="Compact"/>
        <w:numPr>
          <w:ilvl w:val="0"/>
          <w:numId w:val="1061"/>
        </w:numPr>
      </w:pPr>
      <w:r>
        <w:t xml:space="preserve">why now;</w:t>
      </w:r>
    </w:p>
    <w:p>
      <w:pPr>
        <w:pStyle w:val="Compact"/>
        <w:numPr>
          <w:ilvl w:val="0"/>
          <w:numId w:val="1061"/>
        </w:numPr>
      </w:pPr>
      <w:r>
        <w:t xml:space="preserve">supporting evidence;</w:t>
      </w:r>
    </w:p>
    <w:p>
      <w:pPr>
        <w:pStyle w:val="Compact"/>
        <w:numPr>
          <w:ilvl w:val="0"/>
          <w:numId w:val="1061"/>
        </w:numPr>
      </w:pPr>
      <w:r>
        <w:t xml:space="preserve">contrary evidence;</w:t>
      </w:r>
    </w:p>
    <w:p>
      <w:pPr>
        <w:pStyle w:val="Compact"/>
        <w:numPr>
          <w:ilvl w:val="0"/>
          <w:numId w:val="1061"/>
        </w:numPr>
      </w:pPr>
      <w:r>
        <w:t xml:space="preserve">blockers;</w:t>
      </w:r>
    </w:p>
    <w:p>
      <w:pPr>
        <w:pStyle w:val="Compact"/>
        <w:numPr>
          <w:ilvl w:val="0"/>
          <w:numId w:val="1061"/>
        </w:numPr>
      </w:pPr>
      <w:r>
        <w:t xml:space="preserve">Unknowns;</w:t>
      </w:r>
    </w:p>
    <w:p>
      <w:pPr>
        <w:pStyle w:val="Compact"/>
        <w:numPr>
          <w:ilvl w:val="0"/>
          <w:numId w:val="1061"/>
        </w:numPr>
      </w:pPr>
      <w:r>
        <w:t xml:space="preserve">falsification questions;</w:t>
      </w:r>
    </w:p>
    <w:p>
      <w:pPr>
        <w:pStyle w:val="Compact"/>
        <w:numPr>
          <w:ilvl w:val="0"/>
          <w:numId w:val="1061"/>
        </w:numPr>
      </w:pPr>
      <w:r>
        <w:t xml:space="preserve">commercial accessibility;</w:t>
      </w:r>
    </w:p>
    <w:p>
      <w:pPr>
        <w:pStyle w:val="Compact"/>
        <w:numPr>
          <w:ilvl w:val="0"/>
          <w:numId w:val="1061"/>
        </w:numPr>
      </w:pPr>
      <w:r>
        <w:t xml:space="preserve">next learning action;</w:t>
      </w:r>
    </w:p>
    <w:p>
      <w:pPr>
        <w:pStyle w:val="Compact"/>
        <w:numPr>
          <w:ilvl w:val="0"/>
          <w:numId w:val="1061"/>
        </w:numPr>
      </w:pPr>
      <w:r>
        <w:t xml:space="preserve">future reporting consequence.</w:t>
      </w:r>
    </w:p>
    <w:bookmarkEnd w:id="106"/>
    <w:bookmarkStart w:id="107" w:name="mandatory-outputs-11"/>
    <w:p>
      <w:pPr>
        <w:pStyle w:val="Heading2"/>
      </w:pPr>
      <w:r>
        <w:t xml:space="preserve">Mandatory outputs</w:t>
      </w:r>
    </w:p>
    <w:p>
      <w:pPr>
        <w:pStyle w:val="Compact"/>
        <w:numPr>
          <w:ilvl w:val="0"/>
          <w:numId w:val="1062"/>
        </w:numPr>
      </w:pPr>
      <w:r>
        <w:t xml:space="preserve">flagship AI transformation blueprints;</w:t>
      </w:r>
    </w:p>
    <w:p>
      <w:pPr>
        <w:pStyle w:val="Compact"/>
        <w:numPr>
          <w:ilvl w:val="0"/>
          <w:numId w:val="1062"/>
        </w:numPr>
      </w:pPr>
      <w:r>
        <w:t xml:space="preserve">executive ownership map;</w:t>
      </w:r>
    </w:p>
    <w:p>
      <w:pPr>
        <w:pStyle w:val="Compact"/>
        <w:numPr>
          <w:ilvl w:val="0"/>
          <w:numId w:val="1062"/>
        </w:numPr>
      </w:pPr>
      <w:r>
        <w:t xml:space="preserve">value-mechanism map;</w:t>
      </w:r>
    </w:p>
    <w:p>
      <w:pPr>
        <w:pStyle w:val="Compact"/>
        <w:numPr>
          <w:ilvl w:val="0"/>
          <w:numId w:val="1062"/>
        </w:numPr>
      </w:pPr>
      <w:r>
        <w:t xml:space="preserve">accessibility and incumbency assessment;</w:t>
      </w:r>
    </w:p>
    <w:p>
      <w:pPr>
        <w:pStyle w:val="Compact"/>
        <w:numPr>
          <w:ilvl w:val="0"/>
          <w:numId w:val="1062"/>
        </w:numPr>
      </w:pPr>
      <w:r>
        <w:t xml:space="preserve">validation and falsification plan;</w:t>
      </w:r>
    </w:p>
    <w:p>
      <w:pPr>
        <w:pStyle w:val="Compact"/>
        <w:numPr>
          <w:ilvl w:val="0"/>
          <w:numId w:val="1062"/>
        </w:numPr>
      </w:pPr>
      <w:r>
        <w:t xml:space="preserve">next-action plan.</w:t>
      </w:r>
    </w:p>
    <w:bookmarkEnd w:id="107"/>
    <w:bookmarkStart w:id="108" w:name="exit-criteria-11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63"/>
        </w:numPr>
      </w:pPr>
      <w:r>
        <w:t xml:space="preserve">each flagship thesis has inspectable lineage;</w:t>
      </w:r>
    </w:p>
    <w:p>
      <w:pPr>
        <w:pStyle w:val="Compact"/>
        <w:numPr>
          <w:ilvl w:val="0"/>
          <w:numId w:val="1063"/>
        </w:numPr>
      </w:pPr>
      <w:r>
        <w:t xml:space="preserve">value mechanisms are measurable;</w:t>
      </w:r>
    </w:p>
    <w:p>
      <w:pPr>
        <w:pStyle w:val="Compact"/>
        <w:numPr>
          <w:ilvl w:val="0"/>
          <w:numId w:val="1063"/>
        </w:numPr>
      </w:pPr>
      <w:r>
        <w:t xml:space="preserve">AI has a specific and necessary role;</w:t>
      </w:r>
    </w:p>
    <w:p>
      <w:pPr>
        <w:pStyle w:val="Compact"/>
        <w:numPr>
          <w:ilvl w:val="0"/>
          <w:numId w:val="1063"/>
        </w:numPr>
      </w:pPr>
      <w:r>
        <w:t xml:space="preserve">non-AI dependencies are explicit;</w:t>
      </w:r>
    </w:p>
    <w:p>
      <w:pPr>
        <w:pStyle w:val="Compact"/>
        <w:numPr>
          <w:ilvl w:val="0"/>
          <w:numId w:val="1063"/>
        </w:numPr>
      </w:pPr>
      <w:r>
        <w:t xml:space="preserve">commercial accessibility is known, inferred or Unknown;</w:t>
      </w:r>
    </w:p>
    <w:p>
      <w:pPr>
        <w:pStyle w:val="Compact"/>
        <w:numPr>
          <w:ilvl w:val="0"/>
          <w:numId w:val="1063"/>
        </w:numPr>
      </w:pPr>
      <w:r>
        <w:t xml:space="preserve">the next action is proportionate to confidence.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54" w:name="X788efb743c3cbd7eaf263c218973b7e5a7696d7"/>
    <w:p>
      <w:pPr>
        <w:pStyle w:val="Heading1"/>
      </w:pPr>
      <w:r>
        <w:t xml:space="preserve">Phase 12 — Red-team, synthesis and acceptance</w:t>
      </w:r>
    </w:p>
    <w:bookmarkStart w:id="110" w:name="purpose-1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Challenge the Blueprint before it is treated as commercially useful candidate intelligence.</w:t>
      </w:r>
    </w:p>
    <w:bookmarkEnd w:id="110"/>
    <w:bookmarkStart w:id="111" w:name="required-red-team-perspectives"/>
    <w:p>
      <w:pPr>
        <w:pStyle w:val="Heading2"/>
      </w:pPr>
      <w:r>
        <w:t xml:space="preserve">Required red-team perspectives</w:t>
      </w:r>
    </w:p>
    <w:p>
      <w:pPr>
        <w:pStyle w:val="FirstParagraph"/>
      </w:pPr>
      <w:r>
        <w:t xml:space="preserve">The review SHOULD include the perspectives of:</w:t>
      </w:r>
    </w:p>
    <w:p>
      <w:pPr>
        <w:pStyle w:val="Compact"/>
        <w:numPr>
          <w:ilvl w:val="0"/>
          <w:numId w:val="1064"/>
        </w:numPr>
      </w:pPr>
      <w:r>
        <w:t xml:space="preserve">chair or chief executive;</w:t>
      </w:r>
    </w:p>
    <w:p>
      <w:pPr>
        <w:pStyle w:val="Compact"/>
        <w:numPr>
          <w:ilvl w:val="0"/>
          <w:numId w:val="1064"/>
        </w:numPr>
      </w:pPr>
      <w:r>
        <w:t xml:space="preserve">chief financial officer;</w:t>
      </w:r>
    </w:p>
    <w:p>
      <w:pPr>
        <w:pStyle w:val="Compact"/>
        <w:numPr>
          <w:ilvl w:val="0"/>
          <w:numId w:val="1064"/>
        </w:numPr>
      </w:pPr>
      <w:r>
        <w:t xml:space="preserve">relevant business-unit executive;</w:t>
      </w:r>
    </w:p>
    <w:p>
      <w:pPr>
        <w:pStyle w:val="Compact"/>
        <w:numPr>
          <w:ilvl w:val="0"/>
          <w:numId w:val="1064"/>
        </w:numPr>
      </w:pPr>
      <w:r>
        <w:t xml:space="preserve">chief operating officer;</w:t>
      </w:r>
    </w:p>
    <w:p>
      <w:pPr>
        <w:pStyle w:val="Compact"/>
        <w:numPr>
          <w:ilvl w:val="0"/>
          <w:numId w:val="1064"/>
        </w:numPr>
      </w:pPr>
      <w:r>
        <w:t xml:space="preserve">chief information or digital officer;</w:t>
      </w:r>
    </w:p>
    <w:p>
      <w:pPr>
        <w:pStyle w:val="Compact"/>
        <w:numPr>
          <w:ilvl w:val="0"/>
          <w:numId w:val="1064"/>
        </w:numPr>
      </w:pPr>
      <w:r>
        <w:t xml:space="preserve">regulator;</w:t>
      </w:r>
    </w:p>
    <w:p>
      <w:pPr>
        <w:pStyle w:val="Compact"/>
        <w:numPr>
          <w:ilvl w:val="0"/>
          <w:numId w:val="1064"/>
        </w:numPr>
      </w:pPr>
      <w:r>
        <w:t xml:space="preserve">workforce representative;</w:t>
      </w:r>
    </w:p>
    <w:p>
      <w:pPr>
        <w:pStyle w:val="Compact"/>
        <w:numPr>
          <w:ilvl w:val="0"/>
          <w:numId w:val="1064"/>
        </w:numPr>
      </w:pPr>
      <w:r>
        <w:t xml:space="preserve">major customer;</w:t>
      </w:r>
    </w:p>
    <w:p>
      <w:pPr>
        <w:pStyle w:val="Compact"/>
        <w:numPr>
          <w:ilvl w:val="0"/>
          <w:numId w:val="1064"/>
        </w:numPr>
      </w:pPr>
      <w:r>
        <w:t xml:space="preserve">credit investor;</w:t>
      </w:r>
    </w:p>
    <w:p>
      <w:pPr>
        <w:pStyle w:val="Compact"/>
        <w:numPr>
          <w:ilvl w:val="0"/>
          <w:numId w:val="1064"/>
        </w:numPr>
      </w:pPr>
      <w:r>
        <w:t xml:space="preserve">incumbent supplier;</w:t>
      </w:r>
    </w:p>
    <w:p>
      <w:pPr>
        <w:pStyle w:val="Compact"/>
        <w:numPr>
          <w:ilvl w:val="0"/>
          <w:numId w:val="1064"/>
        </w:numPr>
      </w:pPr>
      <w:r>
        <w:t xml:space="preserve">sceptical procurement leader.</w:t>
      </w:r>
    </w:p>
    <w:bookmarkEnd w:id="111"/>
    <w:bookmarkStart w:id="112" w:name="required-challenges"/>
    <w:p>
      <w:pPr>
        <w:pStyle w:val="Heading2"/>
      </w:pPr>
      <w:r>
        <w:t xml:space="preserve">Required challenges</w:t>
      </w:r>
    </w:p>
    <w:p>
      <w:pPr>
        <w:pStyle w:val="FirstParagraph"/>
      </w:pPr>
      <w:r>
        <w:t xml:space="preserve">The red team MUST ask:</w:t>
      </w:r>
    </w:p>
    <w:p>
      <w:pPr>
        <w:pStyle w:val="Compact"/>
        <w:numPr>
          <w:ilvl w:val="0"/>
          <w:numId w:val="1065"/>
        </w:numPr>
      </w:pPr>
      <w:r>
        <w:t xml:space="preserve">Could this analysis describe another enterprise with only the name changed?</w:t>
      </w:r>
    </w:p>
    <w:p>
      <w:pPr>
        <w:pStyle w:val="Compact"/>
        <w:numPr>
          <w:ilvl w:val="0"/>
          <w:numId w:val="1065"/>
        </w:numPr>
      </w:pPr>
      <w:r>
        <w:t xml:space="preserve">Which conclusions stop at Group or segment level?</w:t>
      </w:r>
    </w:p>
    <w:p>
      <w:pPr>
        <w:pStyle w:val="Compact"/>
        <w:numPr>
          <w:ilvl w:val="0"/>
          <w:numId w:val="1065"/>
        </w:numPr>
      </w:pPr>
      <w:r>
        <w:t xml:space="preserve">Which claims rely on management framing?</w:t>
      </w:r>
    </w:p>
    <w:p>
      <w:pPr>
        <w:pStyle w:val="Compact"/>
        <w:numPr>
          <w:ilvl w:val="0"/>
          <w:numId w:val="1065"/>
        </w:numPr>
      </w:pPr>
      <w:r>
        <w:t xml:space="preserve">Which issues are symptoms rather than root mechanisms?</w:t>
      </w:r>
    </w:p>
    <w:p>
      <w:pPr>
        <w:pStyle w:val="Compact"/>
        <w:numPr>
          <w:ilvl w:val="0"/>
          <w:numId w:val="1065"/>
        </w:numPr>
      </w:pPr>
      <w:r>
        <w:t xml:space="preserve">Which revenue or cost pools remain unexplained?</w:t>
      </w:r>
    </w:p>
    <w:p>
      <w:pPr>
        <w:pStyle w:val="Compact"/>
        <w:numPr>
          <w:ilvl w:val="0"/>
          <w:numId w:val="1065"/>
        </w:numPr>
      </w:pPr>
      <w:r>
        <w:t xml:space="preserve">Which assumptions are hidden inside allocations or adjusted measures?</w:t>
      </w:r>
    </w:p>
    <w:p>
      <w:pPr>
        <w:pStyle w:val="Compact"/>
        <w:numPr>
          <w:ilvl w:val="0"/>
          <w:numId w:val="1065"/>
        </w:numPr>
      </w:pPr>
      <w:r>
        <w:t xml:space="preserve">Which programme benefits are promised rather than realised?</w:t>
      </w:r>
    </w:p>
    <w:p>
      <w:pPr>
        <w:pStyle w:val="Compact"/>
        <w:numPr>
          <w:ilvl w:val="0"/>
          <w:numId w:val="1065"/>
        </w:numPr>
      </w:pPr>
      <w:r>
        <w:t xml:space="preserve">Which transformation is already controlled by an incumbent?</w:t>
      </w:r>
    </w:p>
    <w:p>
      <w:pPr>
        <w:pStyle w:val="Compact"/>
        <w:numPr>
          <w:ilvl w:val="0"/>
          <w:numId w:val="1065"/>
        </w:numPr>
      </w:pPr>
      <w:r>
        <w:t xml:space="preserve">What evidence would falsify the strongest thesis?</w:t>
      </w:r>
    </w:p>
    <w:p>
      <w:pPr>
        <w:pStyle w:val="Compact"/>
        <w:numPr>
          <w:ilvl w:val="0"/>
          <w:numId w:val="1065"/>
        </w:numPr>
      </w:pPr>
      <w:r>
        <w:t xml:space="preserve">What would make the next-release forecast wrong?</w:t>
      </w:r>
    </w:p>
    <w:p>
      <w:pPr>
        <w:pStyle w:val="Compact"/>
        <w:numPr>
          <w:ilvl w:val="0"/>
          <w:numId w:val="1065"/>
        </w:numPr>
      </w:pPr>
      <w:r>
        <w:t xml:space="preserve">What must be learned before commercial engagement?</w:t>
      </w:r>
    </w:p>
    <w:bookmarkEnd w:id="112"/>
    <w:bookmarkStart w:id="113" w:name="mandatory-outputs-12"/>
    <w:p>
      <w:pPr>
        <w:pStyle w:val="Heading2"/>
      </w:pPr>
      <w:r>
        <w:t xml:space="preserve">Mandatory outputs</w:t>
      </w:r>
    </w:p>
    <w:p>
      <w:pPr>
        <w:pStyle w:val="Compact"/>
        <w:numPr>
          <w:ilvl w:val="0"/>
          <w:numId w:val="1066"/>
        </w:numPr>
      </w:pPr>
      <w:r>
        <w:t xml:space="preserve">red-team challenge log;</w:t>
      </w:r>
    </w:p>
    <w:p>
      <w:pPr>
        <w:pStyle w:val="Compact"/>
        <w:numPr>
          <w:ilvl w:val="0"/>
          <w:numId w:val="1066"/>
        </w:numPr>
      </w:pPr>
      <w:r>
        <w:t xml:space="preserve">revised confidence decisions;</w:t>
      </w:r>
    </w:p>
    <w:p>
      <w:pPr>
        <w:pStyle w:val="Compact"/>
        <w:numPr>
          <w:ilvl w:val="0"/>
          <w:numId w:val="1066"/>
        </w:numPr>
      </w:pPr>
      <w:r>
        <w:t xml:space="preserve">rejected and weakened conclusions;</w:t>
      </w:r>
    </w:p>
    <w:p>
      <w:pPr>
        <w:pStyle w:val="Compact"/>
        <w:numPr>
          <w:ilvl w:val="0"/>
          <w:numId w:val="1066"/>
        </w:numPr>
      </w:pPr>
      <w:r>
        <w:t xml:space="preserve">unresolved contradictions;</w:t>
      </w:r>
    </w:p>
    <w:p>
      <w:pPr>
        <w:pStyle w:val="Compact"/>
        <w:numPr>
          <w:ilvl w:val="0"/>
          <w:numId w:val="1066"/>
        </w:numPr>
      </w:pPr>
      <w:r>
        <w:t xml:space="preserve">final coverage matrix;</w:t>
      </w:r>
    </w:p>
    <w:p>
      <w:pPr>
        <w:pStyle w:val="Compact"/>
        <w:numPr>
          <w:ilvl w:val="0"/>
          <w:numId w:val="1066"/>
        </w:numPr>
      </w:pPr>
      <w:r>
        <w:t xml:space="preserve">research completion statement;</w:t>
      </w:r>
    </w:p>
    <w:p>
      <w:pPr>
        <w:pStyle w:val="Compact"/>
        <w:numPr>
          <w:ilvl w:val="0"/>
          <w:numId w:val="1066"/>
        </w:numPr>
      </w:pPr>
      <w:r>
        <w:t xml:space="preserve">acceptance decision.</w:t>
      </w:r>
    </w:p>
    <w:bookmarkEnd w:id="113"/>
    <w:bookmarkStart w:id="114" w:name="exit-criteria-12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67"/>
        </w:numPr>
      </w:pPr>
      <w:r>
        <w:t xml:space="preserve">mandatory artefacts are complete or explicitly unavailable;</w:t>
      </w:r>
    </w:p>
    <w:p>
      <w:pPr>
        <w:pStyle w:val="Compact"/>
        <w:numPr>
          <w:ilvl w:val="0"/>
          <w:numId w:val="1067"/>
        </w:numPr>
      </w:pPr>
      <w:r>
        <w:t xml:space="preserve">major contradictions are visible;</w:t>
      </w:r>
    </w:p>
    <w:p>
      <w:pPr>
        <w:pStyle w:val="Compact"/>
        <w:numPr>
          <w:ilvl w:val="0"/>
          <w:numId w:val="1067"/>
        </w:numPr>
      </w:pPr>
      <w:r>
        <w:t xml:space="preserve">recommendations have lineage;</w:t>
      </w:r>
    </w:p>
    <w:p>
      <w:pPr>
        <w:pStyle w:val="Compact"/>
        <w:numPr>
          <w:ilvl w:val="0"/>
          <w:numId w:val="1067"/>
        </w:numPr>
      </w:pPr>
      <w:r>
        <w:t xml:space="preserve">coverage gaps are stated;</w:t>
      </w:r>
    </w:p>
    <w:p>
      <w:pPr>
        <w:pStyle w:val="Compact"/>
        <w:numPr>
          <w:ilvl w:val="0"/>
          <w:numId w:val="1067"/>
        </w:numPr>
      </w:pPr>
      <w:r>
        <w:t xml:space="preserve">the Twin has passed the required quality gates;</w:t>
      </w:r>
    </w:p>
    <w:p>
      <w:pPr>
        <w:pStyle w:val="Compact"/>
        <w:numPr>
          <w:ilvl w:val="0"/>
          <w:numId w:val="1067"/>
        </w:numPr>
      </w:pPr>
      <w:r>
        <w:t xml:space="preserve">the acceptance authority has assigned a state.</w:t>
      </w:r>
    </w:p>
    <w:p>
      <w:r>
        <w:pict>
          <v:rect style="width:0;height:1.5pt" o:hralign="center" o:hrstd="t" o:hr="t"/>
        </w:pict>
      </w:r>
    </w:p>
    <w:bookmarkEnd w:id="114"/>
    <w:bookmarkStart w:id="121" w:name="cross-cutting-research-controls"/>
    <w:p>
      <w:pPr>
        <w:pStyle w:val="Heading2"/>
      </w:pPr>
      <w:r>
        <w:t xml:space="preserve">11. Cross-cutting research controls</w:t>
      </w:r>
    </w:p>
    <w:bookmarkStart w:id="115" w:name="research-log"/>
    <w:p>
      <w:pPr>
        <w:pStyle w:val="Heading3"/>
      </w:pPr>
      <w:r>
        <w:t xml:space="preserve">11.1 Research log</w:t>
      </w:r>
    </w:p>
    <w:p>
      <w:pPr>
        <w:pStyle w:val="FirstParagraph"/>
      </w:pPr>
      <w:r>
        <w:t xml:space="preserve">The research run MUST preserve:</w:t>
      </w:r>
    </w:p>
    <w:p>
      <w:pPr>
        <w:pStyle w:val="Compact"/>
        <w:numPr>
          <w:ilvl w:val="0"/>
          <w:numId w:val="1068"/>
        </w:numPr>
      </w:pPr>
      <w:r>
        <w:t xml:space="preserve">questions investigated;</w:t>
      </w:r>
    </w:p>
    <w:p>
      <w:pPr>
        <w:pStyle w:val="Compact"/>
        <w:numPr>
          <w:ilvl w:val="0"/>
          <w:numId w:val="1068"/>
        </w:numPr>
      </w:pPr>
      <w:r>
        <w:t xml:space="preserve">sources reviewed;</w:t>
      </w:r>
    </w:p>
    <w:p>
      <w:pPr>
        <w:pStyle w:val="Compact"/>
        <w:numPr>
          <w:ilvl w:val="0"/>
          <w:numId w:val="1068"/>
        </w:numPr>
      </w:pPr>
      <w:r>
        <w:t xml:space="preserve">facts extracted;</w:t>
      </w:r>
    </w:p>
    <w:p>
      <w:pPr>
        <w:pStyle w:val="Compact"/>
        <w:numPr>
          <w:ilvl w:val="0"/>
          <w:numId w:val="1068"/>
        </w:numPr>
      </w:pPr>
      <w:r>
        <w:t xml:space="preserve">calculations performed;</w:t>
      </w:r>
    </w:p>
    <w:p>
      <w:pPr>
        <w:pStyle w:val="Compact"/>
        <w:numPr>
          <w:ilvl w:val="0"/>
          <w:numId w:val="1068"/>
        </w:numPr>
      </w:pPr>
      <w:r>
        <w:t xml:space="preserve">assumptions made;</w:t>
      </w:r>
    </w:p>
    <w:p>
      <w:pPr>
        <w:pStyle w:val="Compact"/>
        <w:numPr>
          <w:ilvl w:val="0"/>
          <w:numId w:val="1068"/>
        </w:numPr>
      </w:pPr>
      <w:r>
        <w:t xml:space="preserve">evidence rejected;</w:t>
      </w:r>
    </w:p>
    <w:p>
      <w:pPr>
        <w:pStyle w:val="Compact"/>
        <w:numPr>
          <w:ilvl w:val="0"/>
          <w:numId w:val="1068"/>
        </w:numPr>
      </w:pPr>
      <w:r>
        <w:t xml:space="preserve">contradictions discovered;</w:t>
      </w:r>
    </w:p>
    <w:p>
      <w:pPr>
        <w:pStyle w:val="Compact"/>
        <w:numPr>
          <w:ilvl w:val="0"/>
          <w:numId w:val="1068"/>
        </w:numPr>
      </w:pPr>
      <w:r>
        <w:t xml:space="preserve">competing hypotheses;</w:t>
      </w:r>
    </w:p>
    <w:p>
      <w:pPr>
        <w:pStyle w:val="Compact"/>
        <w:numPr>
          <w:ilvl w:val="0"/>
          <w:numId w:val="1068"/>
        </w:numPr>
      </w:pPr>
      <w:r>
        <w:t xml:space="preserve">confidence decisions;</w:t>
      </w:r>
    </w:p>
    <w:p>
      <w:pPr>
        <w:pStyle w:val="Compact"/>
        <w:numPr>
          <w:ilvl w:val="0"/>
          <w:numId w:val="1068"/>
        </w:numPr>
      </w:pPr>
      <w:r>
        <w:t xml:space="preserve">scope decisions;</w:t>
      </w:r>
    </w:p>
    <w:p>
      <w:pPr>
        <w:pStyle w:val="Compact"/>
        <w:numPr>
          <w:ilvl w:val="0"/>
          <w:numId w:val="1068"/>
        </w:numPr>
      </w:pPr>
      <w:r>
        <w:t xml:space="preserve">human interventions;</w:t>
      </w:r>
    </w:p>
    <w:p>
      <w:pPr>
        <w:pStyle w:val="Compact"/>
        <w:numPr>
          <w:ilvl w:val="0"/>
          <w:numId w:val="1068"/>
        </w:numPr>
      </w:pPr>
      <w:r>
        <w:t xml:space="preserve">material plan changes.</w:t>
      </w:r>
    </w:p>
    <w:bookmarkEnd w:id="115"/>
    <w:bookmarkStart w:id="116" w:name="decision-log"/>
    <w:p>
      <w:pPr>
        <w:pStyle w:val="Heading3"/>
      </w:pPr>
      <w:r>
        <w:t xml:space="preserve">11.2 Decision log</w:t>
      </w:r>
    </w:p>
    <w:p>
      <w:pPr>
        <w:pStyle w:val="FirstParagraph"/>
      </w:pPr>
      <w:r>
        <w:t xml:space="preserve">Material research decisions SHOULD have a decision record containing:</w:t>
      </w:r>
    </w:p>
    <w:p>
      <w:pPr>
        <w:pStyle w:val="Compact"/>
        <w:numPr>
          <w:ilvl w:val="0"/>
          <w:numId w:val="1069"/>
        </w:numPr>
      </w:pPr>
      <w:r>
        <w:t xml:space="preserve">decision identifier;</w:t>
      </w:r>
    </w:p>
    <w:p>
      <w:pPr>
        <w:pStyle w:val="Compact"/>
        <w:numPr>
          <w:ilvl w:val="0"/>
          <w:numId w:val="1069"/>
        </w:numPr>
      </w:pPr>
      <w:r>
        <w:t xml:space="preserve">decision;</w:t>
      </w:r>
    </w:p>
    <w:p>
      <w:pPr>
        <w:pStyle w:val="Compact"/>
        <w:numPr>
          <w:ilvl w:val="0"/>
          <w:numId w:val="1069"/>
        </w:numPr>
      </w:pPr>
      <w:r>
        <w:t xml:space="preserve">date;</w:t>
      </w:r>
    </w:p>
    <w:p>
      <w:pPr>
        <w:pStyle w:val="Compact"/>
        <w:numPr>
          <w:ilvl w:val="0"/>
          <w:numId w:val="1069"/>
        </w:numPr>
      </w:pPr>
      <w:r>
        <w:t xml:space="preserve">decision owner;</w:t>
      </w:r>
    </w:p>
    <w:p>
      <w:pPr>
        <w:pStyle w:val="Compact"/>
        <w:numPr>
          <w:ilvl w:val="0"/>
          <w:numId w:val="1069"/>
        </w:numPr>
      </w:pPr>
      <w:r>
        <w:t xml:space="preserve">alternatives considered;</w:t>
      </w:r>
    </w:p>
    <w:p>
      <w:pPr>
        <w:pStyle w:val="Compact"/>
        <w:numPr>
          <w:ilvl w:val="0"/>
          <w:numId w:val="1069"/>
        </w:numPr>
      </w:pPr>
      <w:r>
        <w:t xml:space="preserve">supporting evidence;</w:t>
      </w:r>
    </w:p>
    <w:p>
      <w:pPr>
        <w:pStyle w:val="Compact"/>
        <w:numPr>
          <w:ilvl w:val="0"/>
          <w:numId w:val="1069"/>
        </w:numPr>
      </w:pPr>
      <w:r>
        <w:t xml:space="preserve">effect on scope or output;</w:t>
      </w:r>
    </w:p>
    <w:p>
      <w:pPr>
        <w:pStyle w:val="Compact"/>
        <w:numPr>
          <w:ilvl w:val="0"/>
          <w:numId w:val="1069"/>
        </w:numPr>
      </w:pPr>
      <w:r>
        <w:t xml:space="preserve">review trigger.</w:t>
      </w:r>
    </w:p>
    <w:bookmarkEnd w:id="116"/>
    <w:bookmarkStart w:id="117" w:name="calculation-control"/>
    <w:p>
      <w:pPr>
        <w:pStyle w:val="Heading3"/>
      </w:pPr>
      <w:r>
        <w:t xml:space="preserve">11.3 Calculation control</w:t>
      </w:r>
    </w:p>
    <w:p>
      <w:pPr>
        <w:pStyle w:val="FirstParagraph"/>
      </w:pPr>
      <w:r>
        <w:t xml:space="preserve">Every material calculation MUST state:</w:t>
      </w:r>
    </w:p>
    <w:p>
      <w:pPr>
        <w:pStyle w:val="Compact"/>
        <w:numPr>
          <w:ilvl w:val="0"/>
          <w:numId w:val="1070"/>
        </w:numPr>
      </w:pPr>
      <w:r>
        <w:t xml:space="preserve">input values;</w:t>
      </w:r>
    </w:p>
    <w:p>
      <w:pPr>
        <w:pStyle w:val="Compact"/>
        <w:numPr>
          <w:ilvl w:val="0"/>
          <w:numId w:val="1070"/>
        </w:numPr>
      </w:pPr>
      <w:r>
        <w:t xml:space="preserve">source identifiers;</w:t>
      </w:r>
    </w:p>
    <w:p>
      <w:pPr>
        <w:pStyle w:val="Compact"/>
        <w:numPr>
          <w:ilvl w:val="0"/>
          <w:numId w:val="1070"/>
        </w:numPr>
      </w:pPr>
      <w:r>
        <w:t xml:space="preserve">accounting period;</w:t>
      </w:r>
    </w:p>
    <w:p>
      <w:pPr>
        <w:pStyle w:val="Compact"/>
        <w:numPr>
          <w:ilvl w:val="0"/>
          <w:numId w:val="1070"/>
        </w:numPr>
      </w:pPr>
      <w:r>
        <w:t xml:space="preserve">unit;</w:t>
      </w:r>
    </w:p>
    <w:p>
      <w:pPr>
        <w:pStyle w:val="Compact"/>
        <w:numPr>
          <w:ilvl w:val="0"/>
          <w:numId w:val="1070"/>
        </w:numPr>
      </w:pPr>
      <w:r>
        <w:t xml:space="preserve">formula;</w:t>
      </w:r>
    </w:p>
    <w:p>
      <w:pPr>
        <w:pStyle w:val="Compact"/>
        <w:numPr>
          <w:ilvl w:val="0"/>
          <w:numId w:val="1070"/>
        </w:numPr>
      </w:pPr>
      <w:r>
        <w:t xml:space="preserve">adjustments;</w:t>
      </w:r>
    </w:p>
    <w:p>
      <w:pPr>
        <w:pStyle w:val="Compact"/>
        <w:numPr>
          <w:ilvl w:val="0"/>
          <w:numId w:val="1070"/>
        </w:numPr>
      </w:pPr>
      <w:r>
        <w:t xml:space="preserve">output;</w:t>
      </w:r>
    </w:p>
    <w:p>
      <w:pPr>
        <w:pStyle w:val="Compact"/>
        <w:numPr>
          <w:ilvl w:val="0"/>
          <w:numId w:val="1070"/>
        </w:numPr>
      </w:pPr>
      <w:r>
        <w:t xml:space="preserve">limitations.</w:t>
      </w:r>
    </w:p>
    <w:p>
      <w:pPr>
        <w:pStyle w:val="FirstParagraph"/>
      </w:pPr>
      <w:r>
        <w:t xml:space="preserve">Calculations MUST be reproducible.</w:t>
      </w:r>
    </w:p>
    <w:bookmarkEnd w:id="117"/>
    <w:bookmarkStart w:id="118" w:name="contradiction-control"/>
    <w:p>
      <w:pPr>
        <w:pStyle w:val="Heading3"/>
      </w:pPr>
      <w:r>
        <w:t xml:space="preserve">11.4 Contradiction control</w:t>
      </w:r>
    </w:p>
    <w:p>
      <w:pPr>
        <w:pStyle w:val="FirstParagraph"/>
      </w:pPr>
      <w:r>
        <w:t xml:space="preserve">A contradiction MUST NOT be silently resolved.</w:t>
      </w:r>
    </w:p>
    <w:p>
      <w:pPr>
        <w:pStyle w:val="BodyText"/>
      </w:pPr>
      <w:r>
        <w:t xml:space="preserve">Each contradiction MUST record:</w:t>
      </w:r>
    </w:p>
    <w:p>
      <w:pPr>
        <w:pStyle w:val="Compact"/>
        <w:numPr>
          <w:ilvl w:val="0"/>
          <w:numId w:val="1071"/>
        </w:numPr>
      </w:pPr>
      <w:r>
        <w:t xml:space="preserve">competing statements;</w:t>
      </w:r>
    </w:p>
    <w:p>
      <w:pPr>
        <w:pStyle w:val="Compact"/>
        <w:numPr>
          <w:ilvl w:val="0"/>
          <w:numId w:val="1071"/>
        </w:numPr>
      </w:pPr>
      <w:r>
        <w:t xml:space="preserve">supporting evidence for each;</w:t>
      </w:r>
    </w:p>
    <w:p>
      <w:pPr>
        <w:pStyle w:val="Compact"/>
        <w:numPr>
          <w:ilvl w:val="0"/>
          <w:numId w:val="1071"/>
        </w:numPr>
      </w:pPr>
      <w:r>
        <w:t xml:space="preserve">difference in scope, date or accounting basis;</w:t>
      </w:r>
    </w:p>
    <w:p>
      <w:pPr>
        <w:pStyle w:val="Compact"/>
        <w:numPr>
          <w:ilvl w:val="0"/>
          <w:numId w:val="1071"/>
        </w:numPr>
      </w:pPr>
      <w:r>
        <w:t xml:space="preserve">current assessment;</w:t>
      </w:r>
    </w:p>
    <w:p>
      <w:pPr>
        <w:pStyle w:val="Compact"/>
        <w:numPr>
          <w:ilvl w:val="0"/>
          <w:numId w:val="1071"/>
        </w:numPr>
      </w:pPr>
      <w:r>
        <w:t xml:space="preserve">confidence;</w:t>
      </w:r>
    </w:p>
    <w:p>
      <w:pPr>
        <w:pStyle w:val="Compact"/>
        <w:numPr>
          <w:ilvl w:val="0"/>
          <w:numId w:val="1071"/>
        </w:numPr>
      </w:pPr>
      <w:r>
        <w:t xml:space="preserve">next validation action.</w:t>
      </w:r>
    </w:p>
    <w:bookmarkEnd w:id="118"/>
    <w:bookmarkStart w:id="119" w:name="human-supplied-knowledge"/>
    <w:p>
      <w:pPr>
        <w:pStyle w:val="Heading3"/>
      </w:pPr>
      <w:r>
        <w:t xml:space="preserve">11.5 Human-supplied knowledge</w:t>
      </w:r>
    </w:p>
    <w:p>
      <w:pPr>
        <w:pStyle w:val="FirstParagraph"/>
      </w:pPr>
      <w:r>
        <w:t xml:space="preserve">Human knowledge MUST record:</w:t>
      </w:r>
    </w:p>
    <w:p>
      <w:pPr>
        <w:pStyle w:val="Compact"/>
        <w:numPr>
          <w:ilvl w:val="0"/>
          <w:numId w:val="1072"/>
        </w:numPr>
      </w:pPr>
      <w:r>
        <w:t xml:space="preserve">contributor;</w:t>
      </w:r>
    </w:p>
    <w:p>
      <w:pPr>
        <w:pStyle w:val="Compact"/>
        <w:numPr>
          <w:ilvl w:val="0"/>
          <w:numId w:val="1072"/>
        </w:numPr>
      </w:pPr>
      <w:r>
        <w:t xml:space="preserve">contribution date;</w:t>
      </w:r>
    </w:p>
    <w:p>
      <w:pPr>
        <w:pStyle w:val="Compact"/>
        <w:numPr>
          <w:ilvl w:val="0"/>
          <w:numId w:val="1072"/>
        </w:numPr>
      </w:pPr>
      <w:r>
        <w:t xml:space="preserve">statement;</w:t>
      </w:r>
    </w:p>
    <w:p>
      <w:pPr>
        <w:pStyle w:val="Compact"/>
        <w:numPr>
          <w:ilvl w:val="0"/>
          <w:numId w:val="1072"/>
        </w:numPr>
      </w:pPr>
      <w:r>
        <w:t xml:space="preserve">affected entities;</w:t>
      </w:r>
    </w:p>
    <w:p>
      <w:pPr>
        <w:pStyle w:val="Compact"/>
        <w:numPr>
          <w:ilvl w:val="0"/>
          <w:numId w:val="1072"/>
        </w:numPr>
      </w:pPr>
      <w:r>
        <w:t xml:space="preserve">confidentiality or handling constraint;</w:t>
      </w:r>
    </w:p>
    <w:p>
      <w:pPr>
        <w:pStyle w:val="Compact"/>
        <w:numPr>
          <w:ilvl w:val="0"/>
          <w:numId w:val="1072"/>
        </w:numPr>
      </w:pPr>
      <w:r>
        <w:t xml:space="preserve">corroboration state;</w:t>
      </w:r>
    </w:p>
    <w:p>
      <w:pPr>
        <w:pStyle w:val="Compact"/>
        <w:numPr>
          <w:ilvl w:val="0"/>
          <w:numId w:val="1072"/>
        </w:numPr>
      </w:pPr>
      <w:r>
        <w:t xml:space="preserve">confidence;</w:t>
      </w:r>
    </w:p>
    <w:p>
      <w:pPr>
        <w:pStyle w:val="Compact"/>
        <w:numPr>
          <w:ilvl w:val="0"/>
          <w:numId w:val="1072"/>
        </w:numPr>
      </w:pPr>
      <w:r>
        <w:t xml:space="preserve">whether it can be cited externally.</w:t>
      </w:r>
    </w:p>
    <w:bookmarkEnd w:id="119"/>
    <w:bookmarkStart w:id="120" w:name="accessibility-control"/>
    <w:p>
      <w:pPr>
        <w:pStyle w:val="Heading3"/>
      </w:pPr>
      <w:r>
        <w:t xml:space="preserve">11.6 Accessibility control</w:t>
      </w:r>
    </w:p>
    <w:p>
      <w:pPr>
        <w:pStyle w:val="FirstParagraph"/>
      </w:pPr>
      <w:r>
        <w:t xml:space="preserve">Commercial accessibility MUST be assessed independently of enterprise need.</w:t>
      </w:r>
    </w:p>
    <w:p>
      <w:pPr>
        <w:pStyle w:val="BodyText"/>
      </w:pPr>
      <w:r>
        <w:t xml:space="preserve">The assessment SHOULD consider:</w:t>
      </w:r>
    </w:p>
    <w:p>
      <w:pPr>
        <w:pStyle w:val="Compact"/>
        <w:numPr>
          <w:ilvl w:val="0"/>
          <w:numId w:val="1073"/>
        </w:numPr>
      </w:pPr>
      <w:r>
        <w:t xml:space="preserve">executive sponsorship;</w:t>
      </w:r>
    </w:p>
    <w:p>
      <w:pPr>
        <w:pStyle w:val="Compact"/>
        <w:numPr>
          <w:ilvl w:val="0"/>
          <w:numId w:val="1073"/>
        </w:numPr>
      </w:pPr>
      <w:r>
        <w:t xml:space="preserve">budget ownership;</w:t>
      </w:r>
    </w:p>
    <w:p>
      <w:pPr>
        <w:pStyle w:val="Compact"/>
        <w:numPr>
          <w:ilvl w:val="0"/>
          <w:numId w:val="1073"/>
        </w:numPr>
      </w:pPr>
      <w:r>
        <w:t xml:space="preserve">procurement route;</w:t>
      </w:r>
    </w:p>
    <w:p>
      <w:pPr>
        <w:pStyle w:val="Compact"/>
        <w:numPr>
          <w:ilvl w:val="0"/>
          <w:numId w:val="1073"/>
        </w:numPr>
      </w:pPr>
      <w:r>
        <w:t xml:space="preserve">incumbent contracts;</w:t>
      </w:r>
    </w:p>
    <w:p>
      <w:pPr>
        <w:pStyle w:val="Compact"/>
        <w:numPr>
          <w:ilvl w:val="0"/>
          <w:numId w:val="1073"/>
        </w:numPr>
      </w:pPr>
      <w:r>
        <w:t xml:space="preserve">renewal timing;</w:t>
      </w:r>
    </w:p>
    <w:p>
      <w:pPr>
        <w:pStyle w:val="Compact"/>
        <w:numPr>
          <w:ilvl w:val="0"/>
          <w:numId w:val="1073"/>
        </w:numPr>
      </w:pPr>
      <w:r>
        <w:t xml:space="preserve">internal delivery capability;</w:t>
      </w:r>
    </w:p>
    <w:p>
      <w:pPr>
        <w:pStyle w:val="Compact"/>
        <w:numPr>
          <w:ilvl w:val="0"/>
          <w:numId w:val="1073"/>
        </w:numPr>
      </w:pPr>
      <w:r>
        <w:t xml:space="preserve">regulatory or security constraints;</w:t>
      </w:r>
    </w:p>
    <w:p>
      <w:pPr>
        <w:pStyle w:val="Compact"/>
        <w:numPr>
          <w:ilvl w:val="0"/>
          <w:numId w:val="1073"/>
        </w:numPr>
      </w:pPr>
      <w:r>
        <w:t xml:space="preserve">relationship access;</w:t>
      </w:r>
    </w:p>
    <w:p>
      <w:pPr>
        <w:pStyle w:val="Compact"/>
        <w:numPr>
          <w:ilvl w:val="0"/>
          <w:numId w:val="1073"/>
        </w:numPr>
      </w:pPr>
      <w:r>
        <w:t xml:space="preserve">transformation timing;</w:t>
      </w:r>
    </w:p>
    <w:p>
      <w:pPr>
        <w:pStyle w:val="Compact"/>
        <w:numPr>
          <w:ilvl w:val="0"/>
          <w:numId w:val="1073"/>
        </w:numPr>
      </w:pPr>
      <w:r>
        <w:t xml:space="preserve">evidence of active demand.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research-stop-rules"/>
    <w:p>
      <w:pPr>
        <w:pStyle w:val="Heading2"/>
      </w:pPr>
      <w:r>
        <w:t xml:space="preserve">12. Research stop rules</w:t>
      </w:r>
    </w:p>
    <w:p>
      <w:pPr>
        <w:pStyle w:val="FirstParagraph"/>
      </w:pPr>
      <w:r>
        <w:t xml:space="preserve">The plan MUST prevent both premature completion and endless research.</w:t>
      </w:r>
    </w:p>
    <w:p>
      <w:pPr>
        <w:pStyle w:val="BodyText"/>
      </w:pPr>
      <w:r>
        <w:t xml:space="preserve">Research on a question MAY stop when one of the following applies:</w:t>
      </w:r>
    </w:p>
    <w:p>
      <w:pPr>
        <w:pStyle w:val="Compact"/>
        <w:numPr>
          <w:ilvl w:val="0"/>
          <w:numId w:val="1074"/>
        </w:numPr>
      </w:pPr>
      <w:r>
        <w:t xml:space="preserve">the answer is supported to the confidence required for the decision;</w:t>
      </w:r>
    </w:p>
    <w:p>
      <w:pPr>
        <w:pStyle w:val="Compact"/>
        <w:numPr>
          <w:ilvl w:val="0"/>
          <w:numId w:val="1074"/>
        </w:numPr>
      </w:pPr>
      <w:r>
        <w:t xml:space="preserve">multiple independent searches have not improved the evidence;</w:t>
      </w:r>
    </w:p>
    <w:p>
      <w:pPr>
        <w:pStyle w:val="Compact"/>
        <w:numPr>
          <w:ilvl w:val="0"/>
          <w:numId w:val="1074"/>
        </w:numPr>
      </w:pPr>
      <w:r>
        <w:t xml:space="preserve">the remaining gap is explicitly classified as Unknown;</w:t>
      </w:r>
    </w:p>
    <w:p>
      <w:pPr>
        <w:pStyle w:val="Compact"/>
        <w:numPr>
          <w:ilvl w:val="0"/>
          <w:numId w:val="1074"/>
        </w:numPr>
      </w:pPr>
      <w:r>
        <w:t xml:space="preserve">further research has low expected decision value;</w:t>
      </w:r>
    </w:p>
    <w:p>
      <w:pPr>
        <w:pStyle w:val="Compact"/>
        <w:numPr>
          <w:ilvl w:val="0"/>
          <w:numId w:val="1074"/>
        </w:numPr>
      </w:pPr>
      <w:r>
        <w:t xml:space="preserve">the evidence is inaccessible through public research;</w:t>
      </w:r>
    </w:p>
    <w:p>
      <w:pPr>
        <w:pStyle w:val="Compact"/>
        <w:numPr>
          <w:ilvl w:val="0"/>
          <w:numId w:val="1074"/>
        </w:numPr>
      </w:pPr>
      <w:r>
        <w:t xml:space="preserve">the question requires executive, customer or supplier validation;</w:t>
      </w:r>
    </w:p>
    <w:p>
      <w:pPr>
        <w:pStyle w:val="Compact"/>
        <w:numPr>
          <w:ilvl w:val="0"/>
          <w:numId w:val="1074"/>
        </w:numPr>
      </w:pPr>
      <w:r>
        <w:t xml:space="preserve">the source cut-off has been reached;</w:t>
      </w:r>
    </w:p>
    <w:p>
      <w:pPr>
        <w:pStyle w:val="Compact"/>
        <w:numPr>
          <w:ilvl w:val="0"/>
          <w:numId w:val="1074"/>
        </w:numPr>
      </w:pPr>
      <w:r>
        <w:t xml:space="preserve">the question has become immaterial;</w:t>
      </w:r>
    </w:p>
    <w:p>
      <w:pPr>
        <w:pStyle w:val="Compact"/>
        <w:numPr>
          <w:ilvl w:val="0"/>
          <w:numId w:val="1074"/>
        </w:numPr>
      </w:pPr>
      <w:r>
        <w:t xml:space="preserve">the plan owner has consciously accepted the residual uncertainty.</w:t>
      </w:r>
    </w:p>
    <w:p>
      <w:pPr>
        <w:pStyle w:val="FirstParagraph"/>
      </w:pPr>
      <w:r>
        <w:t xml:space="preserve">A stop decision MUST record:</w:t>
      </w:r>
    </w:p>
    <w:p>
      <w:pPr>
        <w:pStyle w:val="Compact"/>
        <w:numPr>
          <w:ilvl w:val="0"/>
          <w:numId w:val="1075"/>
        </w:numPr>
      </w:pPr>
      <w:r>
        <w:t xml:space="preserve">question;</w:t>
      </w:r>
    </w:p>
    <w:p>
      <w:pPr>
        <w:pStyle w:val="Compact"/>
        <w:numPr>
          <w:ilvl w:val="0"/>
          <w:numId w:val="1075"/>
        </w:numPr>
      </w:pPr>
      <w:r>
        <w:t xml:space="preserve">evidence obtained;</w:t>
      </w:r>
    </w:p>
    <w:p>
      <w:pPr>
        <w:pStyle w:val="Compact"/>
        <w:numPr>
          <w:ilvl w:val="0"/>
          <w:numId w:val="1075"/>
        </w:numPr>
      </w:pPr>
      <w:r>
        <w:t xml:space="preserve">remaining gap;</w:t>
      </w:r>
    </w:p>
    <w:p>
      <w:pPr>
        <w:pStyle w:val="Compact"/>
        <w:numPr>
          <w:ilvl w:val="0"/>
          <w:numId w:val="1075"/>
        </w:numPr>
      </w:pPr>
      <w:r>
        <w:t xml:space="preserve">decision impact;</w:t>
      </w:r>
    </w:p>
    <w:p>
      <w:pPr>
        <w:pStyle w:val="Compact"/>
        <w:numPr>
          <w:ilvl w:val="0"/>
          <w:numId w:val="1075"/>
        </w:numPr>
      </w:pPr>
      <w:r>
        <w:t xml:space="preserve">reason for stopping;</w:t>
      </w:r>
    </w:p>
    <w:p>
      <w:pPr>
        <w:pStyle w:val="Compact"/>
        <w:numPr>
          <w:ilvl w:val="0"/>
          <w:numId w:val="1075"/>
        </w:numPr>
      </w:pPr>
      <w:r>
        <w:t xml:space="preserve">next validation route.</w:t>
      </w:r>
    </w:p>
    <w:p>
      <w:pPr>
        <w:pStyle w:val="FirstParagraph"/>
      </w:pPr>
      <w:r>
        <w:t xml:space="preserve">Research MUST NOT stop merely because a plausible narrative has been found.</w:t>
      </w:r>
    </w:p>
    <w:p>
      <w:r>
        <w:pict>
          <v:rect style="width:0;height:1.5pt" o:hralign="center" o:hrstd="t" o:hr="t"/>
        </w:pict>
      </w:r>
    </w:p>
    <w:bookmarkEnd w:id="122"/>
    <w:bookmarkStart w:id="123" w:name="mandatory-plan-artefact-register"/>
    <w:p>
      <w:pPr>
        <w:pStyle w:val="Heading2"/>
      </w:pPr>
      <w:r>
        <w:t xml:space="preserve">13. Mandatory plan artefact register</w:t>
      </w:r>
    </w:p>
    <w:p>
      <w:pPr>
        <w:pStyle w:val="FirstParagraph"/>
      </w:pPr>
      <w:r>
        <w:t xml:space="preserve">The enterprise-specific plan MUST allocate responsibility for the following Blueprint artefacts:</w:t>
      </w:r>
    </w:p>
    <w:p>
      <w:pPr>
        <w:pStyle w:val="Compact"/>
        <w:numPr>
          <w:ilvl w:val="0"/>
          <w:numId w:val="1076"/>
        </w:numPr>
      </w:pPr>
      <w:r>
        <w:t xml:space="preserve">Twin identity and scope;</w:t>
      </w:r>
    </w:p>
    <w:p>
      <w:pPr>
        <w:pStyle w:val="Compact"/>
        <w:numPr>
          <w:ilvl w:val="0"/>
          <w:numId w:val="1076"/>
        </w:numPr>
      </w:pPr>
      <w:r>
        <w:t xml:space="preserve">enterprise boundary map;</w:t>
      </w:r>
    </w:p>
    <w:p>
      <w:pPr>
        <w:pStyle w:val="Compact"/>
        <w:numPr>
          <w:ilvl w:val="0"/>
          <w:numId w:val="1076"/>
        </w:numPr>
      </w:pPr>
      <w:r>
        <w:t xml:space="preserve">corporate ownership map;</w:t>
      </w:r>
    </w:p>
    <w:p>
      <w:pPr>
        <w:pStyle w:val="Compact"/>
        <w:numPr>
          <w:ilvl w:val="0"/>
          <w:numId w:val="1076"/>
        </w:numPr>
      </w:pPr>
      <w:r>
        <w:t xml:space="preserve">governance and committee map;</w:t>
      </w:r>
    </w:p>
    <w:p>
      <w:pPr>
        <w:pStyle w:val="Compact"/>
        <w:numPr>
          <w:ilvl w:val="0"/>
          <w:numId w:val="1076"/>
        </w:numPr>
      </w:pPr>
      <w:r>
        <w:t xml:space="preserve">influence and agenda network;</w:t>
      </w:r>
    </w:p>
    <w:p>
      <w:pPr>
        <w:pStyle w:val="Compact"/>
        <w:numPr>
          <w:ilvl w:val="0"/>
          <w:numId w:val="1076"/>
        </w:numPr>
      </w:pPr>
      <w:r>
        <w:t xml:space="preserve">board agenda and anxiety map;</w:t>
      </w:r>
    </w:p>
    <w:p>
      <w:pPr>
        <w:pStyle w:val="Compact"/>
        <w:numPr>
          <w:ilvl w:val="0"/>
          <w:numId w:val="1076"/>
        </w:numPr>
      </w:pPr>
      <w:r>
        <w:t xml:space="preserve">burning-platform register;</w:t>
      </w:r>
    </w:p>
    <w:p>
      <w:pPr>
        <w:pStyle w:val="Compact"/>
        <w:numPr>
          <w:ilvl w:val="0"/>
          <w:numId w:val="1076"/>
        </w:numPr>
      </w:pPr>
      <w:r>
        <w:t xml:space="preserve">public promise and commitment tracker;</w:t>
      </w:r>
    </w:p>
    <w:p>
      <w:pPr>
        <w:pStyle w:val="Compact"/>
        <w:numPr>
          <w:ilvl w:val="0"/>
          <w:numId w:val="1076"/>
        </w:numPr>
      </w:pPr>
      <w:r>
        <w:t xml:space="preserve">strategic-bet register;</w:t>
      </w:r>
    </w:p>
    <w:p>
      <w:pPr>
        <w:pStyle w:val="Compact"/>
        <w:numPr>
          <w:ilvl w:val="0"/>
          <w:numId w:val="1076"/>
        </w:numPr>
      </w:pPr>
      <w:r>
        <w:t xml:space="preserve">enterprise and business-unit structure map;</w:t>
      </w:r>
    </w:p>
    <w:p>
      <w:pPr>
        <w:pStyle w:val="Compact"/>
        <w:numPr>
          <w:ilvl w:val="0"/>
          <w:numId w:val="1076"/>
        </w:numPr>
      </w:pPr>
      <w:r>
        <w:t xml:space="preserve">business-unit anatomy cards;</w:t>
      </w:r>
    </w:p>
    <w:p>
      <w:pPr>
        <w:pStyle w:val="Compact"/>
        <w:numPr>
          <w:ilvl w:val="0"/>
          <w:numId w:val="1076"/>
        </w:numPr>
      </w:pPr>
      <w:r>
        <w:t xml:space="preserve">revenue-driver trees;</w:t>
      </w:r>
    </w:p>
    <w:p>
      <w:pPr>
        <w:pStyle w:val="Compact"/>
        <w:numPr>
          <w:ilvl w:val="0"/>
          <w:numId w:val="1076"/>
        </w:numPr>
      </w:pPr>
      <w:r>
        <w:t xml:space="preserve">cost-driver trees;</w:t>
      </w:r>
    </w:p>
    <w:p>
      <w:pPr>
        <w:pStyle w:val="Compact"/>
        <w:numPr>
          <w:ilvl w:val="0"/>
          <w:numId w:val="1076"/>
        </w:numPr>
      </w:pPr>
      <w:r>
        <w:t xml:space="preserve">profit-to-cash bridge;</w:t>
      </w:r>
    </w:p>
    <w:p>
      <w:pPr>
        <w:pStyle w:val="Compact"/>
        <w:numPr>
          <w:ilvl w:val="0"/>
          <w:numId w:val="1076"/>
        </w:numPr>
      </w:pPr>
      <w:r>
        <w:t xml:space="preserve">capital-allocation map;</w:t>
      </w:r>
    </w:p>
    <w:p>
      <w:pPr>
        <w:pStyle w:val="Compact"/>
        <w:numPr>
          <w:ilvl w:val="0"/>
          <w:numId w:val="1076"/>
        </w:numPr>
      </w:pPr>
      <w:r>
        <w:t xml:space="preserve">value-pool map;</w:t>
      </w:r>
    </w:p>
    <w:p>
      <w:pPr>
        <w:pStyle w:val="Compact"/>
        <w:numPr>
          <w:ilvl w:val="0"/>
          <w:numId w:val="1076"/>
        </w:numPr>
      </w:pPr>
      <w:r>
        <w:t xml:space="preserve">customer and market engine;</w:t>
      </w:r>
    </w:p>
    <w:p>
      <w:pPr>
        <w:pStyle w:val="Compact"/>
        <w:numPr>
          <w:ilvl w:val="0"/>
          <w:numId w:val="1076"/>
        </w:numPr>
      </w:pPr>
      <w:r>
        <w:t xml:space="preserve">workforce and capability map;</w:t>
      </w:r>
    </w:p>
    <w:p>
      <w:pPr>
        <w:pStyle w:val="Compact"/>
        <w:numPr>
          <w:ilvl w:val="0"/>
          <w:numId w:val="1076"/>
        </w:numPr>
      </w:pPr>
      <w:r>
        <w:t xml:space="preserve">process and value-stream map;</w:t>
      </w:r>
    </w:p>
    <w:p>
      <w:pPr>
        <w:pStyle w:val="Compact"/>
        <w:numPr>
          <w:ilvl w:val="0"/>
          <w:numId w:val="1076"/>
        </w:numPr>
      </w:pPr>
      <w:r>
        <w:t xml:space="preserve">technology, data, cyber and AI map;</w:t>
      </w:r>
    </w:p>
    <w:p>
      <w:pPr>
        <w:pStyle w:val="Compact"/>
        <w:numPr>
          <w:ilvl w:val="0"/>
          <w:numId w:val="1076"/>
        </w:numPr>
      </w:pPr>
      <w:r>
        <w:t xml:space="preserve">supplier and contract map;</w:t>
      </w:r>
    </w:p>
    <w:p>
      <w:pPr>
        <w:pStyle w:val="Compact"/>
        <w:numPr>
          <w:ilvl w:val="0"/>
          <w:numId w:val="1076"/>
        </w:numPr>
      </w:pPr>
      <w:r>
        <w:t xml:space="preserve">transformation-portfolio map;</w:t>
      </w:r>
    </w:p>
    <w:p>
      <w:pPr>
        <w:pStyle w:val="Compact"/>
        <w:numPr>
          <w:ilvl w:val="0"/>
          <w:numId w:val="1076"/>
        </w:numPr>
      </w:pPr>
      <w:r>
        <w:t xml:space="preserve">behaviour and execution assessment;</w:t>
      </w:r>
    </w:p>
    <w:p>
      <w:pPr>
        <w:pStyle w:val="Compact"/>
        <w:numPr>
          <w:ilvl w:val="0"/>
          <w:numId w:val="1076"/>
        </w:numPr>
      </w:pPr>
      <w:r>
        <w:t xml:space="preserve">leading-indicator register;</w:t>
      </w:r>
    </w:p>
    <w:p>
      <w:pPr>
        <w:pStyle w:val="Compact"/>
        <w:numPr>
          <w:ilvl w:val="0"/>
          <w:numId w:val="1076"/>
        </w:numPr>
      </w:pPr>
      <w:r>
        <w:t xml:space="preserve">next-release forecast and scenarios;</w:t>
      </w:r>
    </w:p>
    <w:p>
      <w:pPr>
        <w:pStyle w:val="Compact"/>
        <w:numPr>
          <w:ilvl w:val="0"/>
          <w:numId w:val="1076"/>
        </w:numPr>
      </w:pPr>
      <w:r>
        <w:t xml:space="preserve">transformation-thesis register;</w:t>
      </w:r>
    </w:p>
    <w:p>
      <w:pPr>
        <w:pStyle w:val="Compact"/>
        <w:numPr>
          <w:ilvl w:val="0"/>
          <w:numId w:val="1076"/>
        </w:numPr>
      </w:pPr>
      <w:r>
        <w:t xml:space="preserve">flagship AI transformation blueprints;</w:t>
      </w:r>
    </w:p>
    <w:p>
      <w:pPr>
        <w:pStyle w:val="Compact"/>
        <w:numPr>
          <w:ilvl w:val="0"/>
          <w:numId w:val="1076"/>
        </w:numPr>
      </w:pPr>
      <w:r>
        <w:t xml:space="preserve">executive ownership map;</w:t>
      </w:r>
    </w:p>
    <w:p>
      <w:pPr>
        <w:pStyle w:val="Compact"/>
        <w:numPr>
          <w:ilvl w:val="0"/>
          <w:numId w:val="1076"/>
        </w:numPr>
      </w:pPr>
      <w:r>
        <w:t xml:space="preserve">commercial-accessibility assessment;</w:t>
      </w:r>
    </w:p>
    <w:p>
      <w:pPr>
        <w:pStyle w:val="Compact"/>
        <w:numPr>
          <w:ilvl w:val="0"/>
          <w:numId w:val="1076"/>
        </w:numPr>
      </w:pPr>
      <w:r>
        <w:t xml:space="preserve">Evidence register;</w:t>
      </w:r>
    </w:p>
    <w:p>
      <w:pPr>
        <w:pStyle w:val="Compact"/>
        <w:numPr>
          <w:ilvl w:val="0"/>
          <w:numId w:val="1076"/>
        </w:numPr>
      </w:pPr>
      <w:r>
        <w:t xml:space="preserve">Unknown register;</w:t>
      </w:r>
    </w:p>
    <w:p>
      <w:pPr>
        <w:pStyle w:val="Compact"/>
        <w:numPr>
          <w:ilvl w:val="0"/>
          <w:numId w:val="1076"/>
        </w:numPr>
      </w:pPr>
      <w:r>
        <w:t xml:space="preserve">Contradiction register;</w:t>
      </w:r>
    </w:p>
    <w:p>
      <w:pPr>
        <w:pStyle w:val="Compact"/>
        <w:numPr>
          <w:ilvl w:val="0"/>
          <w:numId w:val="1076"/>
        </w:numPr>
      </w:pPr>
      <w:r>
        <w:t xml:space="preserve">calculation register;</w:t>
      </w:r>
    </w:p>
    <w:p>
      <w:pPr>
        <w:pStyle w:val="Compact"/>
        <w:numPr>
          <w:ilvl w:val="0"/>
          <w:numId w:val="1076"/>
        </w:numPr>
      </w:pPr>
      <w:r>
        <w:t xml:space="preserve">rejected-evidence log;</w:t>
      </w:r>
    </w:p>
    <w:p>
      <w:pPr>
        <w:pStyle w:val="Compact"/>
        <w:numPr>
          <w:ilvl w:val="0"/>
          <w:numId w:val="1076"/>
        </w:numPr>
      </w:pPr>
      <w:r>
        <w:t xml:space="preserve">coverage matrix;</w:t>
      </w:r>
    </w:p>
    <w:p>
      <w:pPr>
        <w:pStyle w:val="Compact"/>
        <w:numPr>
          <w:ilvl w:val="0"/>
          <w:numId w:val="1076"/>
        </w:numPr>
      </w:pPr>
      <w:r>
        <w:t xml:space="preserve">next-learning and commercial-action plan;</w:t>
      </w:r>
    </w:p>
    <w:p>
      <w:pPr>
        <w:pStyle w:val="Compact"/>
        <w:numPr>
          <w:ilvl w:val="0"/>
          <w:numId w:val="1076"/>
        </w:numPr>
      </w:pPr>
      <w:r>
        <w:t xml:space="preserve">transparent research record;</w:t>
      </w:r>
    </w:p>
    <w:p>
      <w:pPr>
        <w:pStyle w:val="Compact"/>
        <w:numPr>
          <w:ilvl w:val="0"/>
          <w:numId w:val="1076"/>
        </w:numPr>
      </w:pPr>
      <w:r>
        <w:t xml:space="preserve">version and refresh record;</w:t>
      </w:r>
    </w:p>
    <w:p>
      <w:pPr>
        <w:pStyle w:val="Compact"/>
        <w:numPr>
          <w:ilvl w:val="0"/>
          <w:numId w:val="1076"/>
        </w:numPr>
      </w:pPr>
      <w:r>
        <w:t xml:space="preserve">research completion statement;</w:t>
      </w:r>
    </w:p>
    <w:p>
      <w:pPr>
        <w:pStyle w:val="Compact"/>
        <w:numPr>
          <w:ilvl w:val="0"/>
          <w:numId w:val="1076"/>
        </w:numPr>
      </w:pPr>
      <w:r>
        <w:t xml:space="preserve">acceptance-state declaration.</w:t>
      </w:r>
    </w:p>
    <w:p>
      <w:pPr>
        <w:pStyle w:val="FirstParagraph"/>
      </w:pPr>
      <w:r>
        <w:t xml:space="preserve">Each artefact SHOULD record:</w:t>
      </w:r>
    </w:p>
    <w:p>
      <w:pPr>
        <w:pStyle w:val="Compact"/>
        <w:numPr>
          <w:ilvl w:val="0"/>
          <w:numId w:val="1077"/>
        </w:numPr>
      </w:pPr>
      <w:r>
        <w:t xml:space="preserve">artefact identifier;</w:t>
      </w:r>
    </w:p>
    <w:p>
      <w:pPr>
        <w:pStyle w:val="Compact"/>
        <w:numPr>
          <w:ilvl w:val="0"/>
          <w:numId w:val="1077"/>
        </w:numPr>
      </w:pPr>
      <w:r>
        <w:t xml:space="preserve">owner;</w:t>
      </w:r>
    </w:p>
    <w:p>
      <w:pPr>
        <w:pStyle w:val="Compact"/>
        <w:numPr>
          <w:ilvl w:val="0"/>
          <w:numId w:val="1077"/>
        </w:numPr>
      </w:pPr>
      <w:r>
        <w:t xml:space="preserve">required phase;</w:t>
      </w:r>
    </w:p>
    <w:p>
      <w:pPr>
        <w:pStyle w:val="Compact"/>
        <w:numPr>
          <w:ilvl w:val="0"/>
          <w:numId w:val="1077"/>
        </w:numPr>
      </w:pPr>
      <w:r>
        <w:t xml:space="preserve">status;</w:t>
      </w:r>
    </w:p>
    <w:p>
      <w:pPr>
        <w:pStyle w:val="Compact"/>
        <w:numPr>
          <w:ilvl w:val="0"/>
          <w:numId w:val="1077"/>
        </w:numPr>
      </w:pPr>
      <w:r>
        <w:t xml:space="preserve">source dependencies;</w:t>
      </w:r>
    </w:p>
    <w:p>
      <w:pPr>
        <w:pStyle w:val="Compact"/>
        <w:numPr>
          <w:ilvl w:val="0"/>
          <w:numId w:val="1077"/>
        </w:numPr>
      </w:pPr>
      <w:r>
        <w:t xml:space="preserve">completion condition;</w:t>
      </w:r>
    </w:p>
    <w:p>
      <w:pPr>
        <w:pStyle w:val="Compact"/>
        <w:numPr>
          <w:ilvl w:val="0"/>
          <w:numId w:val="1077"/>
        </w:numPr>
      </w:pPr>
      <w:r>
        <w:t xml:space="preserve">review state.</w:t>
      </w:r>
    </w:p>
    <w:p>
      <w:r>
        <w:pict>
          <v:rect style="width:0;height:1.5pt" o:hralign="center" o:hrstd="t" o:hr="t"/>
        </w:pict>
      </w:r>
    </w:p>
    <w:bookmarkEnd w:id="123"/>
    <w:bookmarkStart w:id="133" w:name="quality-gates"/>
    <w:p>
      <w:pPr>
        <w:pStyle w:val="Heading2"/>
      </w:pPr>
      <w:r>
        <w:t xml:space="preserve">14. Quality gates</w:t>
      </w:r>
    </w:p>
    <w:p>
      <w:pPr>
        <w:pStyle w:val="FirstParagraph"/>
      </w:pPr>
      <w:r>
        <w:t xml:space="preserve">The plan MUST include the following gates.</w:t>
      </w:r>
    </w:p>
    <w:bookmarkStart w:id="124" w:name="gate-0-plan-authorisation"/>
    <w:p>
      <w:pPr>
        <w:pStyle w:val="Heading3"/>
      </w:pPr>
      <w:r>
        <w:t xml:space="preserve">Gate 0 — Plan authorisation</w:t>
      </w:r>
    </w:p>
    <w:p>
      <w:pPr>
        <w:pStyle w:val="Compact"/>
        <w:numPr>
          <w:ilvl w:val="0"/>
          <w:numId w:val="1078"/>
        </w:numPr>
      </w:pPr>
      <w:r>
        <w:t xml:space="preserve">scope is explicit;</w:t>
      </w:r>
    </w:p>
    <w:p>
      <w:pPr>
        <w:pStyle w:val="Compact"/>
        <w:numPr>
          <w:ilvl w:val="0"/>
          <w:numId w:val="1078"/>
        </w:numPr>
      </w:pPr>
      <w:r>
        <w:t xml:space="preserve">purpose is explicit;</w:t>
      </w:r>
    </w:p>
    <w:p>
      <w:pPr>
        <w:pStyle w:val="Compact"/>
        <w:numPr>
          <w:ilvl w:val="0"/>
          <w:numId w:val="1078"/>
        </w:numPr>
      </w:pPr>
      <w:r>
        <w:t xml:space="preserve">forecast target is fixed;</w:t>
      </w:r>
    </w:p>
    <w:p>
      <w:pPr>
        <w:pStyle w:val="Compact"/>
        <w:numPr>
          <w:ilvl w:val="0"/>
          <w:numId w:val="1078"/>
        </w:numPr>
      </w:pPr>
      <w:r>
        <w:t xml:space="preserve">source plan exists;</w:t>
      </w:r>
    </w:p>
    <w:p>
      <w:pPr>
        <w:pStyle w:val="Compact"/>
        <w:numPr>
          <w:ilvl w:val="0"/>
          <w:numId w:val="1078"/>
        </w:numPr>
      </w:pPr>
      <w:r>
        <w:t xml:space="preserve">question register exists;</w:t>
      </w:r>
    </w:p>
    <w:p>
      <w:pPr>
        <w:pStyle w:val="Compact"/>
        <w:numPr>
          <w:ilvl w:val="0"/>
          <w:numId w:val="1078"/>
        </w:numPr>
      </w:pPr>
      <w:r>
        <w:t xml:space="preserve">acceptance authority is identified.</w:t>
      </w:r>
    </w:p>
    <w:bookmarkEnd w:id="124"/>
    <w:bookmarkStart w:id="125" w:name="gate-1-scope-integrity"/>
    <w:p>
      <w:pPr>
        <w:pStyle w:val="Heading3"/>
      </w:pPr>
      <w:r>
        <w:t xml:space="preserve">Gate 1 — Scope integrity</w:t>
      </w:r>
    </w:p>
    <w:p>
      <w:pPr>
        <w:pStyle w:val="Compact"/>
        <w:numPr>
          <w:ilvl w:val="0"/>
          <w:numId w:val="1079"/>
        </w:numPr>
      </w:pPr>
      <w:r>
        <w:t xml:space="preserve">legal and operating boundaries are explicit;</w:t>
      </w:r>
    </w:p>
    <w:p>
      <w:pPr>
        <w:pStyle w:val="Compact"/>
        <w:numPr>
          <w:ilvl w:val="0"/>
          <w:numId w:val="1079"/>
        </w:numPr>
      </w:pPr>
      <w:r>
        <w:t xml:space="preserve">material units are identified;</w:t>
      </w:r>
    </w:p>
    <w:p>
      <w:pPr>
        <w:pStyle w:val="Compact"/>
        <w:numPr>
          <w:ilvl w:val="0"/>
          <w:numId w:val="1079"/>
        </w:numPr>
      </w:pPr>
      <w:r>
        <w:t xml:space="preserve">exclusions are visible;</w:t>
      </w:r>
    </w:p>
    <w:p>
      <w:pPr>
        <w:pStyle w:val="Compact"/>
        <w:numPr>
          <w:ilvl w:val="0"/>
          <w:numId w:val="1079"/>
        </w:numPr>
      </w:pPr>
      <w:r>
        <w:t xml:space="preserve">reporting periods are consistent.</w:t>
      </w:r>
    </w:p>
    <w:bookmarkEnd w:id="125"/>
    <w:bookmarkStart w:id="126" w:name="gate-2-evidence-integrity"/>
    <w:p>
      <w:pPr>
        <w:pStyle w:val="Heading3"/>
      </w:pPr>
      <w:r>
        <w:t xml:space="preserve">Gate 2 — Evidence integrity</w:t>
      </w:r>
    </w:p>
    <w:p>
      <w:pPr>
        <w:pStyle w:val="Compact"/>
        <w:numPr>
          <w:ilvl w:val="0"/>
          <w:numId w:val="1080"/>
        </w:numPr>
      </w:pPr>
      <w:r>
        <w:t xml:space="preserve">material claims have supporting evidence;</w:t>
      </w:r>
    </w:p>
    <w:p>
      <w:pPr>
        <w:pStyle w:val="Compact"/>
        <w:numPr>
          <w:ilvl w:val="0"/>
          <w:numId w:val="1080"/>
        </w:numPr>
      </w:pPr>
      <w:r>
        <w:t xml:space="preserve">source authority is assessed;</w:t>
      </w:r>
    </w:p>
    <w:p>
      <w:pPr>
        <w:pStyle w:val="Compact"/>
        <w:numPr>
          <w:ilvl w:val="0"/>
          <w:numId w:val="1080"/>
        </w:numPr>
      </w:pPr>
      <w:r>
        <w:t xml:space="preserve">evidence families are sufficiently diverse;</w:t>
      </w:r>
    </w:p>
    <w:p>
      <w:pPr>
        <w:pStyle w:val="Compact"/>
        <w:numPr>
          <w:ilvl w:val="0"/>
          <w:numId w:val="1080"/>
        </w:numPr>
      </w:pPr>
      <w:r>
        <w:t xml:space="preserve">calculations are reproducible;</w:t>
      </w:r>
    </w:p>
    <w:p>
      <w:pPr>
        <w:pStyle w:val="Compact"/>
        <w:numPr>
          <w:ilvl w:val="0"/>
          <w:numId w:val="1080"/>
        </w:numPr>
      </w:pPr>
      <w:r>
        <w:t xml:space="preserve">human knowledge is labelled.</w:t>
      </w:r>
    </w:p>
    <w:bookmarkEnd w:id="126"/>
    <w:bookmarkStart w:id="127" w:name="gate-3-depth-integrity"/>
    <w:p>
      <w:pPr>
        <w:pStyle w:val="Heading3"/>
      </w:pPr>
      <w:r>
        <w:t xml:space="preserve">Gate 3 — Depth integrity</w:t>
      </w:r>
    </w:p>
    <w:p>
      <w:pPr>
        <w:pStyle w:val="Compact"/>
        <w:numPr>
          <w:ilvl w:val="0"/>
          <w:numId w:val="1081"/>
        </w:numPr>
      </w:pPr>
      <w:r>
        <w:t xml:space="preserve">material findings reach the deepest evidence-supported layer;</w:t>
      </w:r>
    </w:p>
    <w:p>
      <w:pPr>
        <w:pStyle w:val="Compact"/>
        <w:numPr>
          <w:ilvl w:val="0"/>
          <w:numId w:val="1081"/>
        </w:numPr>
      </w:pPr>
      <w:r>
        <w:t xml:space="preserve">Group results connect to business-unit mechanics;</w:t>
      </w:r>
    </w:p>
    <w:p>
      <w:pPr>
        <w:pStyle w:val="Compact"/>
        <w:numPr>
          <w:ilvl w:val="0"/>
          <w:numId w:val="1081"/>
        </w:numPr>
      </w:pPr>
      <w:r>
        <w:t xml:space="preserve">processes, people, platforms, data and suppliers are connected;</w:t>
      </w:r>
    </w:p>
    <w:p>
      <w:pPr>
        <w:pStyle w:val="Compact"/>
        <w:numPr>
          <w:ilvl w:val="0"/>
          <w:numId w:val="1081"/>
        </w:numPr>
      </w:pPr>
      <w:r>
        <w:t xml:space="preserve">gaps are marked Unknown.</w:t>
      </w:r>
    </w:p>
    <w:bookmarkEnd w:id="127"/>
    <w:bookmarkStart w:id="128" w:name="gate-4-reasoning-integrity"/>
    <w:p>
      <w:pPr>
        <w:pStyle w:val="Heading3"/>
      </w:pPr>
      <w:r>
        <w:t xml:space="preserve">Gate 4 — Reasoning integrity</w:t>
      </w:r>
    </w:p>
    <w:p>
      <w:pPr>
        <w:pStyle w:val="Compact"/>
        <w:numPr>
          <w:ilvl w:val="0"/>
          <w:numId w:val="1082"/>
        </w:numPr>
      </w:pPr>
      <w:r>
        <w:t xml:space="preserve">truth classes remain distinct;</w:t>
      </w:r>
    </w:p>
    <w:p>
      <w:pPr>
        <w:pStyle w:val="Compact"/>
        <w:numPr>
          <w:ilvl w:val="0"/>
          <w:numId w:val="1082"/>
        </w:numPr>
      </w:pPr>
      <w:r>
        <w:t xml:space="preserve">inference is not presented as fact;</w:t>
      </w:r>
    </w:p>
    <w:p>
      <w:pPr>
        <w:pStyle w:val="Compact"/>
        <w:numPr>
          <w:ilvl w:val="0"/>
          <w:numId w:val="1082"/>
        </w:numPr>
      </w:pPr>
      <w:r>
        <w:t xml:space="preserve">contradictions are preserved;</w:t>
      </w:r>
    </w:p>
    <w:p>
      <w:pPr>
        <w:pStyle w:val="Compact"/>
        <w:numPr>
          <w:ilvl w:val="0"/>
          <w:numId w:val="1082"/>
        </w:numPr>
      </w:pPr>
      <w:r>
        <w:t xml:space="preserve">causal traces are inspectable;</w:t>
      </w:r>
    </w:p>
    <w:p>
      <w:pPr>
        <w:pStyle w:val="Compact"/>
        <w:numPr>
          <w:ilvl w:val="0"/>
          <w:numId w:val="1082"/>
        </w:numPr>
      </w:pPr>
      <w:r>
        <w:t xml:space="preserve">recommendations have lineage.</w:t>
      </w:r>
    </w:p>
    <w:bookmarkEnd w:id="128"/>
    <w:bookmarkStart w:id="129" w:name="gate-5-predictive-integrity"/>
    <w:p>
      <w:pPr>
        <w:pStyle w:val="Heading3"/>
      </w:pPr>
      <w:r>
        <w:t xml:space="preserve">Gate 5 — Predictive integrity</w:t>
      </w:r>
    </w:p>
    <w:p>
      <w:pPr>
        <w:pStyle w:val="Compact"/>
        <w:numPr>
          <w:ilvl w:val="0"/>
          <w:numId w:val="1083"/>
        </w:numPr>
      </w:pPr>
      <w:r>
        <w:t xml:space="preserve">actual, guidance, target and forecast are separated;</w:t>
      </w:r>
    </w:p>
    <w:p>
      <w:pPr>
        <w:pStyle w:val="Compact"/>
        <w:numPr>
          <w:ilvl w:val="0"/>
          <w:numId w:val="1083"/>
        </w:numPr>
      </w:pPr>
      <w:r>
        <w:t xml:space="preserve">forecast drivers are explicit;</w:t>
      </w:r>
    </w:p>
    <w:p>
      <w:pPr>
        <w:pStyle w:val="Compact"/>
        <w:numPr>
          <w:ilvl w:val="0"/>
          <w:numId w:val="1083"/>
        </w:numPr>
      </w:pPr>
      <w:r>
        <w:t xml:space="preserve">scenarios are used;</w:t>
      </w:r>
    </w:p>
    <w:p>
      <w:pPr>
        <w:pStyle w:val="Compact"/>
        <w:numPr>
          <w:ilvl w:val="0"/>
          <w:numId w:val="1083"/>
        </w:numPr>
      </w:pPr>
      <w:r>
        <w:t xml:space="preserve">leading indicators are observable;</w:t>
      </w:r>
    </w:p>
    <w:p>
      <w:pPr>
        <w:pStyle w:val="Compact"/>
        <w:numPr>
          <w:ilvl w:val="0"/>
          <w:numId w:val="1083"/>
        </w:numPr>
      </w:pPr>
      <w:r>
        <w:t xml:space="preserve">update triggers are defined;</w:t>
      </w:r>
    </w:p>
    <w:p>
      <w:pPr>
        <w:pStyle w:val="Compact"/>
        <w:numPr>
          <w:ilvl w:val="0"/>
          <w:numId w:val="1083"/>
        </w:numPr>
      </w:pPr>
      <w:r>
        <w:t xml:space="preserve">false precision is avoided.</w:t>
      </w:r>
    </w:p>
    <w:bookmarkEnd w:id="129"/>
    <w:bookmarkStart w:id="130" w:name="gate-6-transformation-integrity"/>
    <w:p>
      <w:pPr>
        <w:pStyle w:val="Heading3"/>
      </w:pPr>
      <w:r>
        <w:t xml:space="preserve">Gate 6 — Transformation integrity</w:t>
      </w:r>
    </w:p>
    <w:p>
      <w:pPr>
        <w:pStyle w:val="Compact"/>
        <w:numPr>
          <w:ilvl w:val="0"/>
          <w:numId w:val="1084"/>
        </w:numPr>
      </w:pPr>
      <w:r>
        <w:t xml:space="preserve">proposals are enterprise-specific;</w:t>
      </w:r>
    </w:p>
    <w:p>
      <w:pPr>
        <w:pStyle w:val="Compact"/>
        <w:numPr>
          <w:ilvl w:val="0"/>
          <w:numId w:val="1084"/>
        </w:numPr>
      </w:pPr>
      <w:r>
        <w:t xml:space="preserve">AI has a defined role;</w:t>
      </w:r>
    </w:p>
    <w:p>
      <w:pPr>
        <w:pStyle w:val="Compact"/>
        <w:numPr>
          <w:ilvl w:val="0"/>
          <w:numId w:val="1084"/>
        </w:numPr>
      </w:pPr>
      <w:r>
        <w:t xml:space="preserve">non-AI dependencies are explicit;</w:t>
      </w:r>
    </w:p>
    <w:p>
      <w:pPr>
        <w:pStyle w:val="Compact"/>
        <w:numPr>
          <w:ilvl w:val="0"/>
          <w:numId w:val="1084"/>
        </w:numPr>
      </w:pPr>
      <w:r>
        <w:t xml:space="preserve">ownership and incumbency are considered;</w:t>
      </w:r>
    </w:p>
    <w:p>
      <w:pPr>
        <w:pStyle w:val="Compact"/>
        <w:numPr>
          <w:ilvl w:val="0"/>
          <w:numId w:val="1084"/>
        </w:numPr>
      </w:pPr>
      <w:r>
        <w:t xml:space="preserve">accessibility is assessed;</w:t>
      </w:r>
    </w:p>
    <w:p>
      <w:pPr>
        <w:pStyle w:val="Compact"/>
        <w:numPr>
          <w:ilvl w:val="0"/>
          <w:numId w:val="1084"/>
        </w:numPr>
      </w:pPr>
      <w:r>
        <w:t xml:space="preserve">falsification questions exist.</w:t>
      </w:r>
    </w:p>
    <w:bookmarkEnd w:id="130"/>
    <w:bookmarkStart w:id="131" w:name="gate-7-commercial-usefulness"/>
    <w:p>
      <w:pPr>
        <w:pStyle w:val="Heading3"/>
      </w:pPr>
      <w:r>
        <w:t xml:space="preserve">Gate 7 — Commercial usefulness</w:t>
      </w:r>
    </w:p>
    <w:p>
      <w:pPr>
        <w:pStyle w:val="Compact"/>
        <w:numPr>
          <w:ilvl w:val="0"/>
          <w:numId w:val="1085"/>
        </w:numPr>
      </w:pPr>
      <w:r>
        <w:t xml:space="preserve">the Twin changes understanding or action;</w:t>
      </w:r>
    </w:p>
    <w:p>
      <w:pPr>
        <w:pStyle w:val="Compact"/>
        <w:numPr>
          <w:ilvl w:val="0"/>
          <w:numId w:val="1085"/>
        </w:numPr>
      </w:pPr>
      <w:r>
        <w:t xml:space="preserve">the recommended next action is proportionate to conviction;</w:t>
      </w:r>
    </w:p>
    <w:p>
      <w:pPr>
        <w:pStyle w:val="Compact"/>
        <w:numPr>
          <w:ilvl w:val="0"/>
          <w:numId w:val="1085"/>
        </w:numPr>
      </w:pPr>
      <w:r>
        <w:t xml:space="preserve">learning actions are preferred where evidence is incomplete;</w:t>
      </w:r>
    </w:p>
    <w:p>
      <w:pPr>
        <w:pStyle w:val="Compact"/>
        <w:numPr>
          <w:ilvl w:val="0"/>
          <w:numId w:val="1085"/>
        </w:numPr>
      </w:pPr>
      <w:r>
        <w:t xml:space="preserve">enterprise need is not confused with commercial opportunity.</w:t>
      </w:r>
    </w:p>
    <w:bookmarkEnd w:id="131"/>
    <w:bookmarkStart w:id="132" w:name="gate-8-acceptance-integrity"/>
    <w:p>
      <w:pPr>
        <w:pStyle w:val="Heading3"/>
      </w:pPr>
      <w:r>
        <w:t xml:space="preserve">Gate 8 — Acceptance integrity</w:t>
      </w:r>
    </w:p>
    <w:p>
      <w:pPr>
        <w:pStyle w:val="Compact"/>
        <w:numPr>
          <w:ilvl w:val="0"/>
          <w:numId w:val="1086"/>
        </w:numPr>
      </w:pPr>
      <w:r>
        <w:t xml:space="preserve">completion state is explicit;</w:t>
      </w:r>
    </w:p>
    <w:p>
      <w:pPr>
        <w:pStyle w:val="Compact"/>
        <w:numPr>
          <w:ilvl w:val="0"/>
          <w:numId w:val="1086"/>
        </w:numPr>
      </w:pPr>
      <w:r>
        <w:t xml:space="preserve">reviewer comments are resolved or preserved;</w:t>
      </w:r>
    </w:p>
    <w:p>
      <w:pPr>
        <w:pStyle w:val="Compact"/>
        <w:numPr>
          <w:ilvl w:val="0"/>
          <w:numId w:val="1086"/>
        </w:numPr>
      </w:pPr>
      <w:r>
        <w:t xml:space="preserve">mandatory artefacts are present or explicitly unavailable;</w:t>
      </w:r>
    </w:p>
    <w:p>
      <w:pPr>
        <w:pStyle w:val="Compact"/>
        <w:numPr>
          <w:ilvl w:val="0"/>
          <w:numId w:val="1086"/>
        </w:numPr>
      </w:pPr>
      <w:r>
        <w:t xml:space="preserve">the Blueprint is labelled candidate, reviewed, accepted or rejected.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coverage-standard"/>
    <w:p>
      <w:pPr>
        <w:pStyle w:val="Heading2"/>
      </w:pPr>
      <w:r>
        <w:t xml:space="preserve">15. Coverage standard</w:t>
      </w:r>
    </w:p>
    <w:p>
      <w:pPr>
        <w:pStyle w:val="FirstParagraph"/>
      </w:pPr>
      <w:r>
        <w:t xml:space="preserve">The plan MUST require domain-level coverage reporting.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250"/>
        <w:gridCol w:w="1250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Planned depth</w:t>
            </w:r>
          </w:p>
        </w:tc>
        <w:tc>
          <w:tcPr/>
          <w:p>
            <w:pPr>
              <w:pStyle w:val="Compact"/>
            </w:pPr>
            <w:r>
              <w:t xml:space="preserve">Evidence requirement</w:t>
            </w:r>
          </w:p>
        </w:tc>
        <w:tc>
          <w:tcPr/>
          <w:p>
            <w:pPr>
              <w:pStyle w:val="Compact"/>
            </w:pPr>
            <w:r>
              <w:t xml:space="preserve">Volatility</w:t>
            </w:r>
          </w:p>
        </w:tc>
        <w:tc>
          <w:tcPr/>
          <w:p>
            <w:pPr>
              <w:pStyle w:val="Compact"/>
            </w:pPr>
            <w:r>
              <w:t xml:space="preserve">Key questions</w:t>
            </w:r>
          </w:p>
        </w:tc>
        <w:tc>
          <w:tcPr/>
          <w:p>
            <w:pPr>
              <w:pStyle w:val="Compact"/>
            </w:pPr>
            <w:r>
              <w:t xml:space="preserve">Completion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 and influence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0–6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agenda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0–6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0–6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0–6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and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0–6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units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0–6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 and products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0–6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0–6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Workforce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0–6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and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0–6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Suppliers and contracts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0–6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 and execution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0–6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0–6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Transformation intelligence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0–6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accessibility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0–6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</w:tbl>
    <w:p>
      <w:pPr>
        <w:pStyle w:val="BodyText"/>
      </w:pPr>
      <w:r>
        <w:t xml:space="preserve">A single overall completeness score MUST NOT conceal weak domains.</w:t>
      </w:r>
    </w:p>
    <w:p>
      <w:r>
        <w:pict>
          <v:rect style="width:0;height:1.5pt" o:hralign="center" o:hrstd="t" o:hr="t"/>
        </w:pict>
      </w:r>
    </w:p>
    <w:bookmarkEnd w:id="134"/>
    <w:bookmarkStart w:id="135" w:name="plan-change-control"/>
    <w:p>
      <w:pPr>
        <w:pStyle w:val="Heading2"/>
      </w:pPr>
      <w:r>
        <w:t xml:space="preserve">16. Plan change control</w:t>
      </w:r>
    </w:p>
    <w:p>
      <w:pPr>
        <w:pStyle w:val="FirstParagraph"/>
      </w:pPr>
      <w:r>
        <w:t xml:space="preserve">A plan amendment is required where any of the following changes materially:</w:t>
      </w:r>
    </w:p>
    <w:p>
      <w:pPr>
        <w:pStyle w:val="Compact"/>
        <w:numPr>
          <w:ilvl w:val="0"/>
          <w:numId w:val="1087"/>
        </w:numPr>
      </w:pPr>
      <w:r>
        <w:t xml:space="preserve">enterprise boundary;</w:t>
      </w:r>
    </w:p>
    <w:p>
      <w:pPr>
        <w:pStyle w:val="Compact"/>
        <w:numPr>
          <w:ilvl w:val="0"/>
          <w:numId w:val="1087"/>
        </w:numPr>
      </w:pPr>
      <w:r>
        <w:t xml:space="preserve">business-unit scope;</w:t>
      </w:r>
    </w:p>
    <w:p>
      <w:pPr>
        <w:pStyle w:val="Compact"/>
        <w:numPr>
          <w:ilvl w:val="0"/>
          <w:numId w:val="1087"/>
        </w:numPr>
      </w:pPr>
      <w:r>
        <w:t xml:space="preserve">forecast target;</w:t>
      </w:r>
    </w:p>
    <w:p>
      <w:pPr>
        <w:pStyle w:val="Compact"/>
        <w:numPr>
          <w:ilvl w:val="0"/>
          <w:numId w:val="1087"/>
        </w:numPr>
      </w:pPr>
      <w:r>
        <w:t xml:space="preserve">source cut-off;</w:t>
      </w:r>
    </w:p>
    <w:p>
      <w:pPr>
        <w:pStyle w:val="Compact"/>
        <w:numPr>
          <w:ilvl w:val="0"/>
          <w:numId w:val="1087"/>
        </w:numPr>
      </w:pPr>
      <w:r>
        <w:t xml:space="preserve">research purpose;</w:t>
      </w:r>
    </w:p>
    <w:p>
      <w:pPr>
        <w:pStyle w:val="Compact"/>
        <w:numPr>
          <w:ilvl w:val="0"/>
          <w:numId w:val="1087"/>
        </w:numPr>
      </w:pPr>
      <w:r>
        <w:t xml:space="preserve">commercial decision being supported;</w:t>
      </w:r>
    </w:p>
    <w:p>
      <w:pPr>
        <w:pStyle w:val="Compact"/>
        <w:numPr>
          <w:ilvl w:val="0"/>
          <w:numId w:val="1087"/>
        </w:numPr>
      </w:pPr>
      <w:r>
        <w:t xml:space="preserve">maturity target;</w:t>
      </w:r>
    </w:p>
    <w:p>
      <w:pPr>
        <w:pStyle w:val="Compact"/>
        <w:numPr>
          <w:ilvl w:val="0"/>
          <w:numId w:val="1087"/>
        </w:numPr>
      </w:pPr>
      <w:r>
        <w:t xml:space="preserve">materiality basis;</w:t>
      </w:r>
    </w:p>
    <w:p>
      <w:pPr>
        <w:pStyle w:val="Compact"/>
        <w:numPr>
          <w:ilvl w:val="0"/>
          <w:numId w:val="1087"/>
        </w:numPr>
      </w:pPr>
      <w:r>
        <w:t xml:space="preserve">mandatory deliverables;</w:t>
      </w:r>
    </w:p>
    <w:p>
      <w:pPr>
        <w:pStyle w:val="Compact"/>
        <w:numPr>
          <w:ilvl w:val="0"/>
          <w:numId w:val="1087"/>
        </w:numPr>
      </w:pPr>
      <w:r>
        <w:t xml:space="preserve">acceptance authority.</w:t>
      </w:r>
    </w:p>
    <w:p>
      <w:pPr>
        <w:pStyle w:val="FirstParagraph"/>
      </w:pPr>
      <w:r>
        <w:t xml:space="preserve">Each amendment MUST state:</w:t>
      </w:r>
    </w:p>
    <w:p>
      <w:pPr>
        <w:pStyle w:val="Compact"/>
        <w:numPr>
          <w:ilvl w:val="0"/>
          <w:numId w:val="1088"/>
        </w:numPr>
      </w:pPr>
      <w:r>
        <w:t xml:space="preserve">previous state;</w:t>
      </w:r>
    </w:p>
    <w:p>
      <w:pPr>
        <w:pStyle w:val="Compact"/>
        <w:numPr>
          <w:ilvl w:val="0"/>
          <w:numId w:val="1088"/>
        </w:numPr>
      </w:pPr>
      <w:r>
        <w:t xml:space="preserve">new state;</w:t>
      </w:r>
    </w:p>
    <w:p>
      <w:pPr>
        <w:pStyle w:val="Compact"/>
        <w:numPr>
          <w:ilvl w:val="0"/>
          <w:numId w:val="1088"/>
        </w:numPr>
      </w:pPr>
      <w:r>
        <w:t xml:space="preserve">reason;</w:t>
      </w:r>
    </w:p>
    <w:p>
      <w:pPr>
        <w:pStyle w:val="Compact"/>
        <w:numPr>
          <w:ilvl w:val="0"/>
          <w:numId w:val="1088"/>
        </w:numPr>
      </w:pPr>
      <w:r>
        <w:t xml:space="preserve">effect on completed research;</w:t>
      </w:r>
    </w:p>
    <w:p>
      <w:pPr>
        <w:pStyle w:val="Compact"/>
        <w:numPr>
          <w:ilvl w:val="0"/>
          <w:numId w:val="1088"/>
        </w:numPr>
      </w:pPr>
      <w:r>
        <w:t xml:space="preserve">artefacts requiring revision;</w:t>
      </w:r>
    </w:p>
    <w:p>
      <w:pPr>
        <w:pStyle w:val="Compact"/>
        <w:numPr>
          <w:ilvl w:val="0"/>
          <w:numId w:val="1088"/>
        </w:numPr>
      </w:pPr>
      <w:r>
        <w:t xml:space="preserve">approval.</w:t>
      </w:r>
    </w:p>
    <w:p>
      <w:pPr>
        <w:pStyle w:val="FirstParagraph"/>
      </w:pPr>
      <w:r>
        <w:t xml:space="preserve">Minor editorial changes MAY be recorded in the document history without a formal amendment.</w:t>
      </w:r>
    </w:p>
    <w:p>
      <w:r>
        <w:pict>
          <v:rect style="width:0;height:1.5pt" o:hralign="center" o:hrstd="t" o:hr="t"/>
        </w:pict>
      </w:r>
    </w:p>
    <w:bookmarkEnd w:id="135"/>
    <w:bookmarkStart w:id="139" w:name="versioning-and-github-structure"/>
    <w:p>
      <w:pPr>
        <w:pStyle w:val="Heading2"/>
      </w:pPr>
      <w:r>
        <w:t xml:space="preserve">17. Versioning and GitHub structure</w:t>
      </w:r>
    </w:p>
    <w:bookmarkStart w:id="136" w:name="recommended-repository-structure"/>
    <w:p>
      <w:pPr>
        <w:pStyle w:val="Heading3"/>
      </w:pPr>
      <w:r>
        <w:t xml:space="preserve">17.1 Recommended repository structure</w:t>
      </w:r>
    </w:p>
    <w:p>
      <w:pPr>
        <w:pStyle w:val="SourceCode"/>
      </w:pPr>
      <w:r>
        <w:rPr>
          <w:rStyle w:val="VerbatimChar"/>
        </w:rPr>
        <w:t xml:space="preserve">research/</w:t>
      </w:r>
      <w:r>
        <w:br/>
      </w:r>
      <w:r>
        <w:rPr>
          <w:rStyle w:val="VerbatimChar"/>
        </w:rPr>
        <w:t xml:space="preserve">├── standards/</w:t>
      </w:r>
      <w:r>
        <w:br/>
      </w:r>
      <w:r>
        <w:rPr>
          <w:rStyle w:val="VerbatimChar"/>
        </w:rPr>
        <w:t xml:space="preserve">│   └── Commercial-Digital-Twin-Research-Plan-Standard.md</w:t>
      </w:r>
      <w:r>
        <w:br/>
      </w:r>
      <w:r>
        <w:rPr>
          <w:rStyle w:val="VerbatimChar"/>
        </w:rPr>
        <w:t xml:space="preserve">├── plans/</w:t>
      </w:r>
      <w:r>
        <w:br/>
      </w:r>
      <w:r>
        <w:rPr>
          <w:rStyle w:val="VerbatimChar"/>
        </w:rPr>
        <w:t xml:space="preserve">│   └── &lt;enterprise-slug&gt;/</w:t>
      </w:r>
      <w:r>
        <w:br/>
      </w:r>
      <w:r>
        <w:rPr>
          <w:rStyle w:val="VerbatimChar"/>
        </w:rPr>
        <w:t xml:space="preserve">│       ├── &lt;enterprise-slug&gt;-research-plan.md</w:t>
      </w:r>
      <w:r>
        <w:br/>
      </w:r>
      <w:r>
        <w:rPr>
          <w:rStyle w:val="VerbatimChar"/>
        </w:rPr>
        <w:t xml:space="preserve">│       ├── evidence-register.csv</w:t>
      </w:r>
      <w:r>
        <w:br/>
      </w:r>
      <w:r>
        <w:rPr>
          <w:rStyle w:val="VerbatimChar"/>
        </w:rPr>
        <w:t xml:space="preserve">│       ├── question-register.csv</w:t>
      </w:r>
      <w:r>
        <w:br/>
      </w:r>
      <w:r>
        <w:rPr>
          <w:rStyle w:val="VerbatimChar"/>
        </w:rPr>
        <w:t xml:space="preserve">│       ├── calculation-register.csv</w:t>
      </w:r>
      <w:r>
        <w:br/>
      </w:r>
      <w:r>
        <w:rPr>
          <w:rStyle w:val="VerbatimChar"/>
        </w:rPr>
        <w:t xml:space="preserve">│       ├── unknown-register.csv</w:t>
      </w:r>
      <w:r>
        <w:br/>
      </w:r>
      <w:r>
        <w:rPr>
          <w:rStyle w:val="VerbatimChar"/>
        </w:rPr>
        <w:t xml:space="preserve">│       ├── contradiction-register.csv</w:t>
      </w:r>
      <w:r>
        <w:br/>
      </w:r>
      <w:r>
        <w:rPr>
          <w:rStyle w:val="VerbatimChar"/>
        </w:rPr>
        <w:t xml:space="preserve">│       ├── forecast-register.csv</w:t>
      </w:r>
      <w:r>
        <w:br/>
      </w:r>
      <w:r>
        <w:rPr>
          <w:rStyle w:val="VerbatimChar"/>
        </w:rPr>
        <w:t xml:space="preserve">│       ├── transformation-thesis-register.csv</w:t>
      </w:r>
      <w:r>
        <w:br/>
      </w:r>
      <w:r>
        <w:rPr>
          <w:rStyle w:val="VerbatimChar"/>
        </w:rPr>
        <w:t xml:space="preserve">│       └── research-log.md</w:t>
      </w:r>
      <w:r>
        <w:br/>
      </w:r>
      <w:r>
        <w:rPr>
          <w:rStyle w:val="VerbatimChar"/>
        </w:rPr>
        <w:t xml:space="preserve">└── blueprints/</w:t>
      </w:r>
      <w:r>
        <w:br/>
      </w:r>
      <w:r>
        <w:rPr>
          <w:rStyle w:val="VerbatimChar"/>
        </w:rPr>
        <w:t xml:space="preserve">    └── &lt;enterprise-slug&gt;/</w:t>
      </w:r>
      <w:r>
        <w:br/>
      </w:r>
      <w:r>
        <w:rPr>
          <w:rStyle w:val="VerbatimChar"/>
        </w:rPr>
        <w:t xml:space="preserve">        └── &lt;version&gt;/</w:t>
      </w:r>
    </w:p>
    <w:bookmarkEnd w:id="136"/>
    <w:bookmarkStart w:id="137" w:name="version-states"/>
    <w:p>
      <w:pPr>
        <w:pStyle w:val="Heading3"/>
      </w:pPr>
      <w:r>
        <w:t xml:space="preserve">17.2 Version states</w:t>
      </w:r>
    </w:p>
    <w:p>
      <w:pPr>
        <w:pStyle w:val="FirstParagraph"/>
      </w:pPr>
      <w:r>
        <w:t xml:space="preserve">Recommended document states are: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Draft</w:t>
      </w:r>
      <w:r>
        <w:t xml:space="preserve"> </w:t>
      </w:r>
      <w:r>
        <w:t xml:space="preserve">— incomplete and not authorised.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Proposed</w:t>
      </w:r>
      <w:r>
        <w:t xml:space="preserve"> </w:t>
      </w:r>
      <w:r>
        <w:t xml:space="preserve">— ready for review.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Approved</w:t>
      </w:r>
      <w:r>
        <w:t xml:space="preserve"> </w:t>
      </w:r>
      <w:r>
        <w:t xml:space="preserve">— authorised for execution.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Superseded</w:t>
      </w:r>
      <w:r>
        <w:t xml:space="preserve"> </w:t>
      </w:r>
      <w:r>
        <w:t xml:space="preserve">— replaced by a newer version.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Rejected</w:t>
      </w:r>
      <w:r>
        <w:t xml:space="preserve"> </w:t>
      </w:r>
      <w:r>
        <w:t xml:space="preserve">— reviewed and not authorised.</w:t>
      </w:r>
    </w:p>
    <w:bookmarkEnd w:id="137"/>
    <w:bookmarkStart w:id="138" w:name="version-numbering"/>
    <w:p>
      <w:pPr>
        <w:pStyle w:val="Heading3"/>
      </w:pPr>
      <w:r>
        <w:t xml:space="preserve">17.3 Version numbering</w:t>
      </w:r>
    </w:p>
    <w:p>
      <w:pPr>
        <w:pStyle w:val="FirstParagraph"/>
      </w:pPr>
      <w:r>
        <w:t xml:space="preserve">The Standard SHOULD use semantic versioning:</w:t>
      </w:r>
    </w:p>
    <w:p>
      <w:pPr>
        <w:pStyle w:val="Compact"/>
        <w:numPr>
          <w:ilvl w:val="0"/>
          <w:numId w:val="1090"/>
        </w:numPr>
      </w:pPr>
      <w:r>
        <w:t xml:space="preserve">major version for material changes to planning meaning or required controls;</w:t>
      </w:r>
    </w:p>
    <w:p>
      <w:pPr>
        <w:pStyle w:val="Compact"/>
        <w:numPr>
          <w:ilvl w:val="0"/>
          <w:numId w:val="1090"/>
        </w:numPr>
      </w:pPr>
      <w:r>
        <w:t xml:space="preserve">minor version for new mandatory fields, phases or gates;</w:t>
      </w:r>
    </w:p>
    <w:p>
      <w:pPr>
        <w:pStyle w:val="Compact"/>
        <w:numPr>
          <w:ilvl w:val="0"/>
          <w:numId w:val="1090"/>
        </w:numPr>
      </w:pPr>
      <w:r>
        <w:t xml:space="preserve">patch version for editorial clarification.</w:t>
      </w:r>
    </w:p>
    <w:p>
      <w:pPr>
        <w:pStyle w:val="FirstParagraph"/>
      </w:pPr>
      <w:r>
        <w:t xml:space="preserve">Enterprise-specific plans MAY use date-based or semantic versioning, provided the convention is consistent.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Xba9558bc80c05cb6bc6c3d2fd6156baf507b81c"/>
    <w:p>
      <w:pPr>
        <w:pStyle w:val="Heading2"/>
      </w:pPr>
      <w:r>
        <w:t xml:space="preserve">18. Refresh and forecast-scoring requirements</w:t>
      </w:r>
    </w:p>
    <w:p>
      <w:pPr>
        <w:pStyle w:val="FirstParagraph"/>
      </w:pPr>
      <w:r>
        <w:t xml:space="preserve">The plan MUST define:</w:t>
      </w:r>
    </w:p>
    <w:p>
      <w:pPr>
        <w:pStyle w:val="Compact"/>
        <w:numPr>
          <w:ilvl w:val="0"/>
          <w:numId w:val="1091"/>
        </w:numPr>
      </w:pPr>
      <w:r>
        <w:t xml:space="preserve">normal refresh cadence;</w:t>
      </w:r>
    </w:p>
    <w:p>
      <w:pPr>
        <w:pStyle w:val="Compact"/>
        <w:numPr>
          <w:ilvl w:val="0"/>
          <w:numId w:val="1091"/>
        </w:numPr>
      </w:pPr>
      <w:r>
        <w:t xml:space="preserve">event-driven refresh triggers;</w:t>
      </w:r>
    </w:p>
    <w:p>
      <w:pPr>
        <w:pStyle w:val="Compact"/>
        <w:numPr>
          <w:ilvl w:val="0"/>
          <w:numId w:val="1091"/>
        </w:numPr>
      </w:pPr>
      <w:r>
        <w:t xml:space="preserve">volatile evidence requiring frequent review;</w:t>
      </w:r>
    </w:p>
    <w:p>
      <w:pPr>
        <w:pStyle w:val="Compact"/>
        <w:numPr>
          <w:ilvl w:val="0"/>
          <w:numId w:val="1091"/>
        </w:numPr>
      </w:pPr>
      <w:r>
        <w:t xml:space="preserve">forecast metrics to be scored;</w:t>
      </w:r>
    </w:p>
    <w:p>
      <w:pPr>
        <w:pStyle w:val="Compact"/>
        <w:numPr>
          <w:ilvl w:val="0"/>
          <w:numId w:val="1091"/>
        </w:numPr>
      </w:pPr>
      <w:r>
        <w:t xml:space="preserve">hypotheses to strengthen, weaken, split or retire;</w:t>
      </w:r>
    </w:p>
    <w:p>
      <w:pPr>
        <w:pStyle w:val="Compact"/>
        <w:numPr>
          <w:ilvl w:val="0"/>
          <w:numId w:val="1091"/>
        </w:numPr>
      </w:pPr>
      <w:r>
        <w:t xml:space="preserve">executive and business-unit ownership changes to monitor;</w:t>
      </w:r>
    </w:p>
    <w:p>
      <w:pPr>
        <w:pStyle w:val="Compact"/>
        <w:numPr>
          <w:ilvl w:val="0"/>
          <w:numId w:val="1091"/>
        </w:numPr>
      </w:pPr>
      <w:r>
        <w:t xml:space="preserve">contract and supplier events to monitor;</w:t>
      </w:r>
    </w:p>
    <w:p>
      <w:pPr>
        <w:pStyle w:val="Compact"/>
        <w:numPr>
          <w:ilvl w:val="0"/>
          <w:numId w:val="1091"/>
        </w:numPr>
      </w:pPr>
      <w:r>
        <w:t xml:space="preserve">regulatory and capital-market events to monitor.</w:t>
      </w:r>
    </w:p>
    <w:p>
      <w:pPr>
        <w:pStyle w:val="FirstParagraph"/>
      </w:pPr>
      <w:r>
        <w:t xml:space="preserve">After the target financial release, the research record SHOULD compare:</w:t>
      </w:r>
    </w:p>
    <w:p>
      <w:pPr>
        <w:pStyle w:val="Compact"/>
        <w:numPr>
          <w:ilvl w:val="0"/>
          <w:numId w:val="1092"/>
        </w:numPr>
      </w:pPr>
      <w:r>
        <w:t xml:space="preserve">forecast versus actual;</w:t>
      </w:r>
    </w:p>
    <w:p>
      <w:pPr>
        <w:pStyle w:val="Compact"/>
        <w:numPr>
          <w:ilvl w:val="0"/>
          <w:numId w:val="1092"/>
        </w:numPr>
      </w:pPr>
      <w:r>
        <w:t xml:space="preserve">driver assumptions versus observed drivers;</w:t>
      </w:r>
    </w:p>
    <w:p>
      <w:pPr>
        <w:pStyle w:val="Compact"/>
        <w:numPr>
          <w:ilvl w:val="0"/>
          <w:numId w:val="1092"/>
        </w:numPr>
      </w:pPr>
      <w:r>
        <w:t xml:space="preserve">management narrative versus expected narrative;</w:t>
      </w:r>
    </w:p>
    <w:p>
      <w:pPr>
        <w:pStyle w:val="Compact"/>
        <w:numPr>
          <w:ilvl w:val="0"/>
          <w:numId w:val="1092"/>
        </w:numPr>
      </w:pPr>
      <w:r>
        <w:t xml:space="preserve">upside and downside triggers;</w:t>
      </w:r>
    </w:p>
    <w:p>
      <w:pPr>
        <w:pStyle w:val="Compact"/>
        <w:numPr>
          <w:ilvl w:val="0"/>
          <w:numId w:val="1092"/>
        </w:numPr>
      </w:pPr>
      <w:r>
        <w:t xml:space="preserve">missed leading indicators;</w:t>
      </w:r>
    </w:p>
    <w:p>
      <w:pPr>
        <w:pStyle w:val="Compact"/>
        <w:numPr>
          <w:ilvl w:val="0"/>
          <w:numId w:val="1092"/>
        </w:numPr>
      </w:pPr>
      <w:r>
        <w:t xml:space="preserve">confidence calibration;</w:t>
      </w:r>
    </w:p>
    <w:p>
      <w:pPr>
        <w:pStyle w:val="Compact"/>
        <w:numPr>
          <w:ilvl w:val="0"/>
          <w:numId w:val="1092"/>
        </w:numPr>
      </w:pPr>
      <w:r>
        <w:t xml:space="preserve">implications for future research.</w:t>
      </w:r>
    </w:p>
    <w:p>
      <w:pPr>
        <w:pStyle w:val="FirstParagraph"/>
      </w:pPr>
      <w:r>
        <w:t xml:space="preserve">Forecast accuracy MUST NOT be assessed only at headline Group level where business-unit drivers were available.</w:t>
      </w:r>
    </w:p>
    <w:p>
      <w:r>
        <w:pict>
          <v:rect style="width:0;height:1.5pt" o:hralign="center" o:hrstd="t" o:hr="t"/>
        </w:pict>
      </w:r>
    </w:p>
    <w:bookmarkEnd w:id="140"/>
    <w:bookmarkStart w:id="147" w:name="plan-acceptance-checklist"/>
    <w:p>
      <w:pPr>
        <w:pStyle w:val="Heading2"/>
      </w:pPr>
      <w:r>
        <w:t xml:space="preserve">19. Plan acceptance checklist</w:t>
      </w:r>
    </w:p>
    <w:p>
      <w:pPr>
        <w:pStyle w:val="FirstParagraph"/>
      </w:pPr>
      <w:r>
        <w:t xml:space="preserve">A plan is compliant only when the reviewer can answer yes to the following.</w:t>
      </w:r>
    </w:p>
    <w:bookmarkStart w:id="141" w:name="identity-and-scope"/>
    <w:p>
      <w:pPr>
        <w:pStyle w:val="Heading3"/>
      </w:pPr>
      <w:r>
        <w:t xml:space="preserve">Identity and scope</w:t>
      </w:r>
    </w:p>
    <w:p>
      <w:pPr>
        <w:pStyle w:val="Compact"/>
        <w:numPr>
          <w:ilvl w:val="0"/>
          <w:numId w:val="1093"/>
        </w:numPr>
      </w:pPr>
      <w:r>
        <w:t xml:space="preserve">Is the enterprise boundary explicit?</w:t>
      </w:r>
    </w:p>
    <w:p>
      <w:pPr>
        <w:pStyle w:val="Compact"/>
        <w:numPr>
          <w:ilvl w:val="0"/>
          <w:numId w:val="1093"/>
        </w:numPr>
      </w:pPr>
      <w:r>
        <w:t xml:space="preserve">Is the operating boundary explicit?</w:t>
      </w:r>
    </w:p>
    <w:p>
      <w:pPr>
        <w:pStyle w:val="Compact"/>
        <w:numPr>
          <w:ilvl w:val="0"/>
          <w:numId w:val="1093"/>
        </w:numPr>
      </w:pPr>
      <w:r>
        <w:t xml:space="preserve">Is the effective date explicit?</w:t>
      </w:r>
    </w:p>
    <w:p>
      <w:pPr>
        <w:pStyle w:val="Compact"/>
        <w:numPr>
          <w:ilvl w:val="0"/>
          <w:numId w:val="1093"/>
        </w:numPr>
      </w:pPr>
      <w:r>
        <w:t xml:space="preserve">Is the source cut-off explicit?</w:t>
      </w:r>
    </w:p>
    <w:p>
      <w:pPr>
        <w:pStyle w:val="Compact"/>
        <w:numPr>
          <w:ilvl w:val="0"/>
          <w:numId w:val="1093"/>
        </w:numPr>
      </w:pPr>
      <w:r>
        <w:t xml:space="preserve">Is the target financial release fixed?</w:t>
      </w:r>
    </w:p>
    <w:p>
      <w:pPr>
        <w:pStyle w:val="Compact"/>
        <w:numPr>
          <w:ilvl w:val="0"/>
          <w:numId w:val="1093"/>
        </w:numPr>
      </w:pPr>
      <w:r>
        <w:t xml:space="preserve">Are exclusions visible?</w:t>
      </w:r>
    </w:p>
    <w:bookmarkEnd w:id="141"/>
    <w:bookmarkStart w:id="142" w:name="questions-and-evidence"/>
    <w:p>
      <w:pPr>
        <w:pStyle w:val="Heading3"/>
      </w:pPr>
      <w:r>
        <w:t xml:space="preserve">Questions and evidence</w:t>
      </w:r>
    </w:p>
    <w:p>
      <w:pPr>
        <w:pStyle w:val="Compact"/>
        <w:numPr>
          <w:ilvl w:val="0"/>
          <w:numId w:val="1094"/>
        </w:numPr>
      </w:pPr>
      <w:r>
        <w:t xml:space="preserve">Are the strategic decision questions stated?</w:t>
      </w:r>
    </w:p>
    <w:p>
      <w:pPr>
        <w:pStyle w:val="Compact"/>
        <w:numPr>
          <w:ilvl w:val="0"/>
          <w:numId w:val="1094"/>
        </w:numPr>
      </w:pPr>
      <w:r>
        <w:t xml:space="preserve">Are the enterprise questions complete?</w:t>
      </w:r>
    </w:p>
    <w:p>
      <w:pPr>
        <w:pStyle w:val="Compact"/>
        <w:numPr>
          <w:ilvl w:val="0"/>
          <w:numId w:val="1094"/>
        </w:numPr>
      </w:pPr>
      <w:r>
        <w:t xml:space="preserve">Are evidence families planned?</w:t>
      </w:r>
    </w:p>
    <w:p>
      <w:pPr>
        <w:pStyle w:val="Compact"/>
        <w:numPr>
          <w:ilvl w:val="0"/>
          <w:numId w:val="1094"/>
        </w:numPr>
      </w:pPr>
      <w:r>
        <w:t xml:space="preserve">Is the source hierarchy defined?</w:t>
      </w:r>
    </w:p>
    <w:p>
      <w:pPr>
        <w:pStyle w:val="Compact"/>
        <w:numPr>
          <w:ilvl w:val="0"/>
          <w:numId w:val="1094"/>
        </w:numPr>
      </w:pPr>
      <w:r>
        <w:t xml:space="preserve">Are corroboration and confidence rules defined?</w:t>
      </w:r>
    </w:p>
    <w:p>
      <w:pPr>
        <w:pStyle w:val="Compact"/>
        <w:numPr>
          <w:ilvl w:val="0"/>
          <w:numId w:val="1094"/>
        </w:numPr>
      </w:pPr>
      <w:r>
        <w:t xml:space="preserve">Is rejected evidence preserved?</w:t>
      </w:r>
    </w:p>
    <w:bookmarkEnd w:id="142"/>
    <w:bookmarkStart w:id="143" w:name="depth-and-execution"/>
    <w:p>
      <w:pPr>
        <w:pStyle w:val="Heading3"/>
      </w:pPr>
      <w:r>
        <w:t xml:space="preserve">Depth and execution</w:t>
      </w:r>
    </w:p>
    <w:p>
      <w:pPr>
        <w:pStyle w:val="Compact"/>
        <w:numPr>
          <w:ilvl w:val="0"/>
          <w:numId w:val="1095"/>
        </w:numPr>
      </w:pPr>
      <w:r>
        <w:t xml:space="preserve">Are Levels 0–6 represented?</w:t>
      </w:r>
    </w:p>
    <w:p>
      <w:pPr>
        <w:pStyle w:val="Compact"/>
        <w:numPr>
          <w:ilvl w:val="0"/>
          <w:numId w:val="1095"/>
        </w:numPr>
      </w:pPr>
      <w:r>
        <w:t xml:space="preserve">Are business-unit anatomy cards required?</w:t>
      </w:r>
    </w:p>
    <w:p>
      <w:pPr>
        <w:pStyle w:val="Compact"/>
        <w:numPr>
          <w:ilvl w:val="0"/>
          <w:numId w:val="1095"/>
        </w:numPr>
      </w:pPr>
      <w:r>
        <w:t xml:space="preserve">Are operating mechanisms explicitly researched?</w:t>
      </w:r>
    </w:p>
    <w:p>
      <w:pPr>
        <w:pStyle w:val="Compact"/>
        <w:numPr>
          <w:ilvl w:val="0"/>
          <w:numId w:val="1095"/>
        </w:numPr>
      </w:pPr>
      <w:r>
        <w:t xml:space="preserve">Are phase outputs and exit conditions stated?</w:t>
      </w:r>
    </w:p>
    <w:p>
      <w:pPr>
        <w:pStyle w:val="Compact"/>
        <w:numPr>
          <w:ilvl w:val="0"/>
          <w:numId w:val="1095"/>
        </w:numPr>
      </w:pPr>
      <w:r>
        <w:t xml:space="preserve">Are research stop rules defined?</w:t>
      </w:r>
    </w:p>
    <w:p>
      <w:pPr>
        <w:pStyle w:val="Compact"/>
        <w:numPr>
          <w:ilvl w:val="0"/>
          <w:numId w:val="1095"/>
        </w:numPr>
      </w:pPr>
      <w:r>
        <w:t xml:space="preserve">Are Unknowns and Contradictions controlled?</w:t>
      </w:r>
    </w:p>
    <w:bookmarkEnd w:id="143"/>
    <w:bookmarkStart w:id="144" w:name="forecasting"/>
    <w:p>
      <w:pPr>
        <w:pStyle w:val="Heading3"/>
      </w:pPr>
      <w:r>
        <w:t xml:space="preserve">Forecasting</w:t>
      </w:r>
    </w:p>
    <w:p>
      <w:pPr>
        <w:pStyle w:val="Compact"/>
        <w:numPr>
          <w:ilvl w:val="0"/>
          <w:numId w:val="1096"/>
        </w:numPr>
      </w:pPr>
      <w:r>
        <w:t xml:space="preserve">Is the forecast horizon clear?</w:t>
      </w:r>
    </w:p>
    <w:p>
      <w:pPr>
        <w:pStyle w:val="Compact"/>
        <w:numPr>
          <w:ilvl w:val="0"/>
          <w:numId w:val="1096"/>
        </w:numPr>
      </w:pPr>
      <w:r>
        <w:t xml:space="preserve">Are guidance, targets and forecasts separated?</w:t>
      </w:r>
    </w:p>
    <w:p>
      <w:pPr>
        <w:pStyle w:val="Compact"/>
        <w:numPr>
          <w:ilvl w:val="0"/>
          <w:numId w:val="1096"/>
        </w:numPr>
      </w:pPr>
      <w:r>
        <w:t xml:space="preserve">Are leading indicators planned?</w:t>
      </w:r>
    </w:p>
    <w:p>
      <w:pPr>
        <w:pStyle w:val="Compact"/>
        <w:numPr>
          <w:ilvl w:val="0"/>
          <w:numId w:val="1096"/>
        </w:numPr>
      </w:pPr>
      <w:r>
        <w:t xml:space="preserve">Are scenarios required?</w:t>
      </w:r>
    </w:p>
    <w:p>
      <w:pPr>
        <w:pStyle w:val="Compact"/>
        <w:numPr>
          <w:ilvl w:val="0"/>
          <w:numId w:val="1096"/>
        </w:numPr>
      </w:pPr>
      <w:r>
        <w:t xml:space="preserve">Will forecasts be scored after release?</w:t>
      </w:r>
    </w:p>
    <w:bookmarkEnd w:id="144"/>
    <w:bookmarkStart w:id="145" w:name="transformation"/>
    <w:p>
      <w:pPr>
        <w:pStyle w:val="Heading3"/>
      </w:pPr>
      <w:r>
        <w:t xml:space="preserve">Transformation</w:t>
      </w:r>
    </w:p>
    <w:p>
      <w:pPr>
        <w:pStyle w:val="Compact"/>
        <w:numPr>
          <w:ilvl w:val="0"/>
          <w:numId w:val="1097"/>
        </w:numPr>
      </w:pPr>
      <w:r>
        <w:t xml:space="preserve">Are transformation hypotheses deferred until operating mechanics are understood?</w:t>
      </w:r>
    </w:p>
    <w:p>
      <w:pPr>
        <w:pStyle w:val="Compact"/>
        <w:numPr>
          <w:ilvl w:val="0"/>
          <w:numId w:val="1097"/>
        </w:numPr>
      </w:pPr>
      <w:r>
        <w:t xml:space="preserve">Are existing programmes and incumbents included?</w:t>
      </w:r>
    </w:p>
    <w:p>
      <w:pPr>
        <w:pStyle w:val="Compact"/>
        <w:numPr>
          <w:ilvl w:val="0"/>
          <w:numId w:val="1097"/>
        </w:numPr>
      </w:pPr>
      <w:r>
        <w:t xml:space="preserve">Is commercial accessibility separately assessed?</w:t>
      </w:r>
    </w:p>
    <w:p>
      <w:pPr>
        <w:pStyle w:val="Compact"/>
        <w:numPr>
          <w:ilvl w:val="0"/>
          <w:numId w:val="1097"/>
        </w:numPr>
      </w:pPr>
      <w:r>
        <w:t xml:space="preserve">Are falsification questions required?</w:t>
      </w:r>
    </w:p>
    <w:p>
      <w:pPr>
        <w:pStyle w:val="Compact"/>
        <w:numPr>
          <w:ilvl w:val="0"/>
          <w:numId w:val="1097"/>
        </w:numPr>
      </w:pPr>
      <w:r>
        <w:t xml:space="preserve">Can weak opportunities be downgraded to learning actions?</w:t>
      </w:r>
    </w:p>
    <w:bookmarkEnd w:id="145"/>
    <w:bookmarkStart w:id="146" w:name="governance"/>
    <w:p>
      <w:pPr>
        <w:pStyle w:val="Heading3"/>
      </w:pPr>
      <w:r>
        <w:t xml:space="preserve">Governance</w:t>
      </w:r>
    </w:p>
    <w:p>
      <w:pPr>
        <w:pStyle w:val="Compact"/>
        <w:numPr>
          <w:ilvl w:val="0"/>
          <w:numId w:val="1098"/>
        </w:numPr>
      </w:pPr>
      <w:r>
        <w:t xml:space="preserve">Are artefact owners assigned?</w:t>
      </w:r>
    </w:p>
    <w:p>
      <w:pPr>
        <w:pStyle w:val="Compact"/>
        <w:numPr>
          <w:ilvl w:val="0"/>
          <w:numId w:val="1098"/>
        </w:numPr>
      </w:pPr>
      <w:r>
        <w:t xml:space="preserve">Are quality gates defined?</w:t>
      </w:r>
    </w:p>
    <w:p>
      <w:pPr>
        <w:pStyle w:val="Compact"/>
        <w:numPr>
          <w:ilvl w:val="0"/>
          <w:numId w:val="1098"/>
        </w:numPr>
      </w:pPr>
      <w:r>
        <w:t xml:space="preserve">Is the reviewer identified?</w:t>
      </w:r>
    </w:p>
    <w:p>
      <w:pPr>
        <w:pStyle w:val="Compact"/>
        <w:numPr>
          <w:ilvl w:val="0"/>
          <w:numId w:val="1098"/>
        </w:numPr>
      </w:pPr>
      <w:r>
        <w:t xml:space="preserve">Is plan change control defined?</w:t>
      </w:r>
    </w:p>
    <w:p>
      <w:pPr>
        <w:pStyle w:val="Compact"/>
        <w:numPr>
          <w:ilvl w:val="0"/>
          <w:numId w:val="1098"/>
        </w:numPr>
      </w:pPr>
      <w:r>
        <w:t xml:space="preserve">Is the acceptance state explicit?</w:t>
      </w:r>
    </w:p>
    <w:p>
      <w:pPr>
        <w:pStyle w:val="FirstParagraph"/>
      </w:pPr>
      <w:r>
        <w:t xml:space="preserve">Failure on a mandatory item MUST be resolved or formally accepted as a documented exception before research begins.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enterprise-specific-plan-template"/>
    <w:p>
      <w:pPr>
        <w:pStyle w:val="Heading2"/>
      </w:pPr>
      <w:r>
        <w:t xml:space="preserve">20. Enterprise-specific plan template</w:t>
      </w:r>
    </w:p>
    <w:p>
      <w:pPr>
        <w:pStyle w:val="FirstParagraph"/>
      </w:pPr>
      <w:r>
        <w:t xml:space="preserve">Every enterprise plan SHOULD use the following structure.</w:t>
      </w:r>
    </w:p>
    <w:p>
      <w:pPr>
        <w:pStyle w:val="Compact"/>
        <w:numPr>
          <w:ilvl w:val="0"/>
          <w:numId w:val="1099"/>
        </w:numPr>
      </w:pPr>
      <w:r>
        <w:t xml:space="preserve">Plan identity and status.</w:t>
      </w:r>
    </w:p>
    <w:p>
      <w:pPr>
        <w:pStyle w:val="Compact"/>
        <w:numPr>
          <w:ilvl w:val="0"/>
          <w:numId w:val="1099"/>
        </w:numPr>
      </w:pPr>
      <w:r>
        <w:t xml:space="preserve">Purpose and intended commercial decisions.</w:t>
      </w:r>
    </w:p>
    <w:p>
      <w:pPr>
        <w:pStyle w:val="Compact"/>
        <w:numPr>
          <w:ilvl w:val="0"/>
          <w:numId w:val="1099"/>
        </w:numPr>
      </w:pPr>
      <w:r>
        <w:t xml:space="preserve">Enterprise modelling boundary.</w:t>
      </w:r>
    </w:p>
    <w:p>
      <w:pPr>
        <w:pStyle w:val="Compact"/>
        <w:numPr>
          <w:ilvl w:val="0"/>
          <w:numId w:val="1099"/>
        </w:numPr>
      </w:pPr>
      <w:r>
        <w:t xml:space="preserve">Effective date, source cut-off and forecast target.</w:t>
      </w:r>
    </w:p>
    <w:p>
      <w:pPr>
        <w:pStyle w:val="Compact"/>
        <w:numPr>
          <w:ilvl w:val="0"/>
          <w:numId w:val="1099"/>
        </w:numPr>
      </w:pPr>
      <w:r>
        <w:t xml:space="preserve">Historical and forecast horizons.</w:t>
      </w:r>
    </w:p>
    <w:p>
      <w:pPr>
        <w:pStyle w:val="Compact"/>
        <w:numPr>
          <w:ilvl w:val="0"/>
          <w:numId w:val="1099"/>
        </w:numPr>
      </w:pPr>
      <w:r>
        <w:t xml:space="preserve">Materiality basis.</w:t>
      </w:r>
    </w:p>
    <w:p>
      <w:pPr>
        <w:pStyle w:val="Compact"/>
        <w:numPr>
          <w:ilvl w:val="0"/>
          <w:numId w:val="1099"/>
        </w:numPr>
      </w:pPr>
      <w:r>
        <w:t xml:space="preserve">Initial enterprise and business-unit structure.</w:t>
      </w:r>
    </w:p>
    <w:p>
      <w:pPr>
        <w:pStyle w:val="Compact"/>
        <w:numPr>
          <w:ilvl w:val="0"/>
          <w:numId w:val="1099"/>
        </w:numPr>
      </w:pPr>
      <w:r>
        <w:t xml:space="preserve">Known human context.</w:t>
      </w:r>
    </w:p>
    <w:p>
      <w:pPr>
        <w:pStyle w:val="Compact"/>
        <w:numPr>
          <w:ilvl w:val="0"/>
          <w:numId w:val="1099"/>
        </w:numPr>
      </w:pPr>
      <w:r>
        <w:t xml:space="preserve">Known hypotheses and biases to control.</w:t>
      </w:r>
    </w:p>
    <w:p>
      <w:pPr>
        <w:pStyle w:val="Compact"/>
        <w:numPr>
          <w:ilvl w:val="0"/>
          <w:numId w:val="1099"/>
        </w:numPr>
      </w:pPr>
      <w:r>
        <w:t xml:space="preserve">Decision questions.</w:t>
      </w:r>
    </w:p>
    <w:p>
      <w:pPr>
        <w:pStyle w:val="Compact"/>
        <w:numPr>
          <w:ilvl w:val="0"/>
          <w:numId w:val="1099"/>
        </w:numPr>
      </w:pPr>
      <w:r>
        <w:t xml:space="preserve">Enterprise research questions.</w:t>
      </w:r>
    </w:p>
    <w:p>
      <w:pPr>
        <w:pStyle w:val="Compact"/>
        <w:numPr>
          <w:ilvl w:val="0"/>
          <w:numId w:val="1099"/>
        </w:numPr>
      </w:pPr>
      <w:r>
        <w:t xml:space="preserve">Source and evidence plan.</w:t>
      </w:r>
    </w:p>
    <w:p>
      <w:pPr>
        <w:pStyle w:val="Compact"/>
        <w:numPr>
          <w:ilvl w:val="0"/>
          <w:numId w:val="1099"/>
        </w:numPr>
      </w:pPr>
      <w:r>
        <w:t xml:space="preserve">Planned execution phases.</w:t>
      </w:r>
    </w:p>
    <w:p>
      <w:pPr>
        <w:pStyle w:val="Compact"/>
        <w:numPr>
          <w:ilvl w:val="0"/>
          <w:numId w:val="1099"/>
        </w:numPr>
      </w:pPr>
      <w:r>
        <w:t xml:space="preserve">Mandatory artefact allocation.</w:t>
      </w:r>
    </w:p>
    <w:p>
      <w:pPr>
        <w:pStyle w:val="Compact"/>
        <w:numPr>
          <w:ilvl w:val="0"/>
          <w:numId w:val="1099"/>
        </w:numPr>
      </w:pPr>
      <w:r>
        <w:t xml:space="preserve">Confidence and corroboration rules.</w:t>
      </w:r>
    </w:p>
    <w:p>
      <w:pPr>
        <w:pStyle w:val="Compact"/>
        <w:numPr>
          <w:ilvl w:val="0"/>
          <w:numId w:val="1099"/>
        </w:numPr>
      </w:pPr>
      <w:r>
        <w:t xml:space="preserve">Research stop rules.</w:t>
      </w:r>
    </w:p>
    <w:p>
      <w:pPr>
        <w:pStyle w:val="Compact"/>
        <w:numPr>
          <w:ilvl w:val="0"/>
          <w:numId w:val="1099"/>
        </w:numPr>
      </w:pPr>
      <w:r>
        <w:t xml:space="preserve">Forecast design.</w:t>
      </w:r>
    </w:p>
    <w:p>
      <w:pPr>
        <w:pStyle w:val="Compact"/>
        <w:numPr>
          <w:ilvl w:val="0"/>
          <w:numId w:val="1099"/>
        </w:numPr>
      </w:pPr>
      <w:r>
        <w:t xml:space="preserve">Transformation and accessibility design.</w:t>
      </w:r>
    </w:p>
    <w:p>
      <w:pPr>
        <w:pStyle w:val="Compact"/>
        <w:numPr>
          <w:ilvl w:val="0"/>
          <w:numId w:val="1099"/>
        </w:numPr>
      </w:pPr>
      <w:r>
        <w:t xml:space="preserve">Quality gates.</w:t>
      </w:r>
    </w:p>
    <w:p>
      <w:pPr>
        <w:pStyle w:val="Compact"/>
        <w:numPr>
          <w:ilvl w:val="0"/>
          <w:numId w:val="1099"/>
        </w:numPr>
      </w:pPr>
      <w:r>
        <w:t xml:space="preserve">Risks and constraints.</w:t>
      </w:r>
    </w:p>
    <w:p>
      <w:pPr>
        <w:pStyle w:val="Compact"/>
        <w:numPr>
          <w:ilvl w:val="0"/>
          <w:numId w:val="1099"/>
        </w:numPr>
      </w:pPr>
      <w:r>
        <w:t xml:space="preserve">Refresh and scoring design.</w:t>
      </w:r>
    </w:p>
    <w:p>
      <w:pPr>
        <w:pStyle w:val="Compact"/>
        <w:numPr>
          <w:ilvl w:val="0"/>
          <w:numId w:val="1099"/>
        </w:numPr>
      </w:pPr>
      <w:r>
        <w:t xml:space="preserve">Plan acceptance checklist.</w:t>
      </w:r>
    </w:p>
    <w:p>
      <w:pPr>
        <w:pStyle w:val="Compact"/>
        <w:numPr>
          <w:ilvl w:val="0"/>
          <w:numId w:val="1099"/>
        </w:numPr>
      </w:pPr>
      <w:r>
        <w:t xml:space="preserve">Approval and version history.</w:t>
      </w:r>
    </w:p>
    <w:p>
      <w:r>
        <w:pict>
          <v:rect style="width:0;height:1.5pt" o:hralign="center" o:hrstd="t" o:hr="t"/>
        </w:pict>
      </w:r>
    </w:p>
    <w:bookmarkEnd w:id="148"/>
    <w:bookmarkStart w:id="149" w:name="X7bf78437eafa5300d01b98f030d399114906236"/>
    <w:p>
      <w:pPr>
        <w:pStyle w:val="Heading2"/>
      </w:pPr>
      <w:r>
        <w:t xml:space="preserve">Appendix A — Research-plan completion statement</w:t>
      </w:r>
    </w:p>
    <w:p>
      <w:pPr>
        <w:pStyle w:val="FirstParagraph"/>
      </w:pPr>
      <w:r>
        <w:t xml:space="preserve">Every approved plan MUST close with: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Enterprise:</w:t>
      </w:r>
      <w:r>
        <w:t xml:space="preserve"> </w:t>
      </w:r>
      <w:r>
        <w:t xml:space="preserve">named enterprise.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decisions the Twin is intended to improve.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Boundary:</w:t>
      </w:r>
      <w:r>
        <w:t xml:space="preserve"> </w:t>
      </w:r>
      <w:r>
        <w:t xml:space="preserve">included and excluded entities, units and geographies.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date represented by the Twin.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Source cut-off:</w:t>
      </w:r>
      <w:r>
        <w:t xml:space="preserve"> </w:t>
      </w:r>
      <w:r>
        <w:t xml:space="preserve">latest permitted evidence.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Forecast target:</w:t>
      </w:r>
      <w:r>
        <w:t xml:space="preserve"> </w:t>
      </w:r>
      <w:r>
        <w:t xml:space="preserve">exact target release or event.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Planned depth:</w:t>
      </w:r>
      <w:r>
        <w:t xml:space="preserve"> </w:t>
      </w:r>
      <w:r>
        <w:t xml:space="preserve">levels and domains.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Required artefacts:</w:t>
      </w:r>
      <w:r>
        <w:t xml:space="preserve"> </w:t>
      </w:r>
      <w:r>
        <w:t xml:space="preserve">assigned, unavailable or deferred.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Primary evidence families:</w:t>
      </w:r>
      <w:r>
        <w:t xml:space="preserve"> </w:t>
      </w:r>
      <w:r>
        <w:t xml:space="preserve">named.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Material planning assumptions:</w:t>
      </w:r>
      <w:r>
        <w:t xml:space="preserve"> </w:t>
      </w:r>
      <w:r>
        <w:t xml:space="preserve">listed.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Known planning Unknowns:</w:t>
      </w:r>
      <w:r>
        <w:t xml:space="preserve"> </w:t>
      </w:r>
      <w:r>
        <w:t xml:space="preserve">listed.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Commercial accessibility scope:</w:t>
      </w:r>
      <w:r>
        <w:t xml:space="preserve"> </w:t>
      </w:r>
      <w:r>
        <w:t xml:space="preserve">included, excluded or partial.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Review authority:</w:t>
      </w:r>
      <w:r>
        <w:t xml:space="preserve"> </w:t>
      </w:r>
      <w:r>
        <w:t xml:space="preserve">named.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Plan state:</w:t>
      </w:r>
      <w:r>
        <w:t xml:space="preserve"> </w:t>
      </w:r>
      <w:r>
        <w:t xml:space="preserve">Draft, Proposed, Approved, Superseded or Rejected.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Authorisation:</w:t>
      </w:r>
      <w:r>
        <w:t xml:space="preserve"> </w:t>
      </w:r>
      <w:r>
        <w:t xml:space="preserve">date and approver.</w:t>
      </w:r>
    </w:p>
    <w:p>
      <w:r>
        <w:pict>
          <v:rect style="width:0;height:1.5pt" o:hralign="center" o:hrstd="t" o:hr="t"/>
        </w:pict>
      </w:r>
    </w:p>
    <w:bookmarkEnd w:id="149"/>
    <w:bookmarkStart w:id="150" w:name="appendix-b-minimum-research-object"/>
    <w:p>
      <w:pPr>
        <w:pStyle w:val="Heading2"/>
      </w:pPr>
      <w:r>
        <w:t xml:space="preserve">Appendix B — Minimum research object</w:t>
      </w:r>
    </w:p>
    <w:p>
      <w:pPr>
        <w:pStyle w:val="SourceCode"/>
      </w:pPr>
      <w:r>
        <w:rPr>
          <w:rStyle w:val="FunctionTok"/>
        </w:rPr>
        <w:t xml:space="preserve">item_id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INF-001</w:t>
      </w:r>
      <w:r>
        <w:br/>
      </w:r>
      <w:r>
        <w:rPr>
          <w:rStyle w:val="FunctionTok"/>
        </w:rPr>
        <w:t xml:space="preserve">truth_class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Corroborated inference</w:t>
      </w:r>
      <w:r>
        <w:br/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enterprise_domain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affected_entities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effective_date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collection_date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source_ids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supporting_evidence_ids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contrary_evidence_ids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FunctionTok"/>
        </w:rPr>
        <w:t xml:space="preserve">freshness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Current</w:t>
      </w:r>
      <w:r>
        <w:br/>
      </w:r>
      <w:r>
        <w:rPr>
          <w:rStyle w:val="FunctionTok"/>
        </w:rPr>
        <w:t xml:space="preserve">contradiction_state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reasoning_summary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Candidate</w:t>
      </w:r>
      <w:r>
        <w:br/>
      </w:r>
      <w:r>
        <w:rPr>
          <w:rStyle w:val="FunctionTok"/>
        </w:rPr>
        <w:t xml:space="preserve">next_validation_action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</w:p>
    <w:p>
      <w:r>
        <w:pict>
          <v:rect style="width:0;height:1.5pt" o:hralign="center" o:hrstd="t" o:hr="t"/>
        </w:pict>
      </w:r>
    </w:p>
    <w:bookmarkEnd w:id="150"/>
    <w:bookmarkStart w:id="151" w:name="appendix-c-minimum-plan-phase-object"/>
    <w:p>
      <w:pPr>
        <w:pStyle w:val="Heading2"/>
      </w:pPr>
      <w:r>
        <w:t xml:space="preserve">Appendix C — Minimum plan-phase object</w:t>
      </w:r>
    </w:p>
    <w:p>
      <w:pPr>
        <w:pStyle w:val="SourceCode"/>
      </w:pPr>
      <w:r>
        <w:rPr>
          <w:rStyle w:val="FunctionTok"/>
        </w:rPr>
        <w:t xml:space="preserve">phase_id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PHASE-01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Enterprise identity and boundary</w:t>
      </w:r>
      <w:r>
        <w:br/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questions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required_evidence_families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artefact_ids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entry_conditions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exit_conditions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known_risks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reviewer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 started</w:t>
      </w:r>
    </w:p>
    <w:p>
      <w:r>
        <w:pict>
          <v:rect style="width:0;height:1.5pt" o:hralign="center" o:hrstd="t" o:hr="t"/>
        </w:pict>
      </w:r>
    </w:p>
    <w:bookmarkEnd w:id="151"/>
    <w:bookmarkStart w:id="152" w:name="X8f43f7a7b10251ebac6799a35bb02f63108227c"/>
    <w:p>
      <w:pPr>
        <w:pStyle w:val="Heading2"/>
      </w:pPr>
      <w:r>
        <w:t xml:space="preserve">Appendix D — Minimum research question object</w:t>
      </w:r>
    </w:p>
    <w:p>
      <w:pPr>
        <w:pStyle w:val="SourceCode"/>
      </w:pPr>
      <w:r>
        <w:rPr>
          <w:rStyle w:val="FunctionTok"/>
        </w:rPr>
        <w:t xml:space="preserve">question_id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QST-001</w:t>
      </w:r>
      <w:r>
        <w:br/>
      </w:r>
      <w:r>
        <w:rPr>
          <w:rStyle w:val="FunctionTok"/>
        </w:rPr>
        <w:t xml:space="preserve">decision_question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research_question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enterprise_domain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affected_entities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FunctionTok"/>
        </w:rPr>
        <w:t xml:space="preserve">required_evidence_families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expected_artefact_id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current_answer_state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Unknown</w:t>
      </w:r>
      <w:r>
        <w:br/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</w:t>
      </w:r>
      <w:r>
        <w:br/>
      </w:r>
      <w:r>
        <w:rPr>
          <w:rStyle w:val="FunctionTok"/>
        </w:rPr>
        <w:t xml:space="preserve">next_action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</w:p>
    <w:p>
      <w:r>
        <w:pict>
          <v:rect style="width:0;height:1.5pt" o:hralign="center" o:hrstd="t" o:hr="t"/>
        </w:pict>
      </w:r>
    </w:p>
    <w:bookmarkEnd w:id="152"/>
    <w:bookmarkStart w:id="153" w:name="X93c3987f18cf70d741b2f0db2c6497270a43920"/>
    <w:p>
      <w:pPr>
        <w:pStyle w:val="Heading2"/>
      </w:pPr>
      <w:r>
        <w:t xml:space="preserve">Appendix E — Standard completion declaration</w:t>
      </w:r>
    </w:p>
    <w:p>
      <w:pPr>
        <w:pStyle w:val="FirstParagraph"/>
      </w:pPr>
      <w:r>
        <w:t xml:space="preserve">This Research Plan Standard defines the minimum planning controls required before constructing a Commercial Digital Twin Blueprint.</w:t>
      </w:r>
    </w:p>
    <w:p>
      <w:pPr>
        <w:pStyle w:val="BodyText"/>
      </w:pPr>
      <w:r>
        <w:t xml:space="preserve">It does not replace the Commercial Digital Twin Blueprint Contract.</w:t>
      </w:r>
    </w:p>
    <w:p>
      <w:pPr>
        <w:pStyle w:val="BodyText"/>
      </w:pPr>
      <w:r>
        <w:t xml:space="preserve">It does not itself authorise any particular enterprise research run.</w:t>
      </w:r>
    </w:p>
    <w:p>
      <w:pPr>
        <w:pStyle w:val="BodyText"/>
      </w:pPr>
      <w:r>
        <w:t xml:space="preserve">An enterprise-specific plan becomes authorised only when:</w:t>
      </w:r>
    </w:p>
    <w:p>
      <w:pPr>
        <w:pStyle w:val="Compact"/>
        <w:numPr>
          <w:ilvl w:val="0"/>
          <w:numId w:val="1101"/>
        </w:numPr>
      </w:pPr>
      <w:r>
        <w:t xml:space="preserve">it complies with this Standard;</w:t>
      </w:r>
    </w:p>
    <w:p>
      <w:pPr>
        <w:pStyle w:val="Compact"/>
        <w:numPr>
          <w:ilvl w:val="0"/>
          <w:numId w:val="1101"/>
        </w:numPr>
      </w:pPr>
      <w:r>
        <w:t xml:space="preserve">it does not weaken the Blueprint Contract;</w:t>
      </w:r>
    </w:p>
    <w:p>
      <w:pPr>
        <w:pStyle w:val="Compact"/>
        <w:numPr>
          <w:ilvl w:val="0"/>
          <w:numId w:val="1101"/>
        </w:numPr>
      </w:pPr>
      <w:r>
        <w:t xml:space="preserve">its scope and forecast target are explicit;</w:t>
      </w:r>
    </w:p>
    <w:p>
      <w:pPr>
        <w:pStyle w:val="Compact"/>
        <w:numPr>
          <w:ilvl w:val="0"/>
          <w:numId w:val="1101"/>
        </w:numPr>
      </w:pPr>
      <w:r>
        <w:t xml:space="preserve">the required research and evidence controls are established;</w:t>
      </w:r>
    </w:p>
    <w:p>
      <w:pPr>
        <w:pStyle w:val="Compact"/>
        <w:numPr>
          <w:ilvl w:val="0"/>
          <w:numId w:val="1101"/>
        </w:numPr>
      </w:pPr>
      <w:r>
        <w:t xml:space="preserve">the identified acceptance authority approves it.</w:t>
      </w:r>
    </w:p>
    <w:p>
      <w:pPr>
        <w:pStyle w:val="FirstParagraph"/>
      </w:pPr>
      <w:r>
        <w:rPr>
          <w:b/>
          <w:bCs/>
        </w:rPr>
        <w:t xml:space="preserve">Canonical state:</w:t>
      </w:r>
      <w:r>
        <w:t xml:space="preserve"> </w:t>
      </w:r>
      <w:r>
        <w:t xml:space="preserve">Proposed standard.</w:t>
      </w:r>
    </w:p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2026-07-07T11:57:19Z</dcterms:created>
  <dcterms:modified xsi:type="dcterms:W3CDTF">2026-07-07T11:57:19Z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