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714683f506530f6f64b6d466f7aba23eb32f01f"/>
    <w:p>
      <w:pPr>
        <w:pStyle w:val="Heading1"/>
      </w:pPr>
      <w:r>
        <w:t xml:space="preserve">Dimensionamiento operativo del nuevo almacén Mahou</w:t>
      </w:r>
    </w:p>
    <w:bookmarkStart w:id="23" w:name="resumen-ejecutivo"/>
    <w:p>
      <w:pPr>
        <w:pStyle w:val="Heading2"/>
      </w:pPr>
      <w:r>
        <w:t xml:space="preserve">Resumen ejecutivo</w:t>
      </w:r>
    </w:p>
    <w:p>
      <w:pPr>
        <w:pStyle w:val="FirstParagraph"/>
      </w:pPr>
      <w:r>
        <w:t xml:space="preserve">He podido cerrar una</w:t>
      </w:r>
      <w:r>
        <w:t xml:space="preserve"> </w:t>
      </w:r>
      <w:r>
        <w:rPr>
          <w:b/>
          <w:bCs/>
        </w:rPr>
        <w:t xml:space="preserve">base operativa sólida</w:t>
      </w:r>
      <w:r>
        <w:t xml:space="preserve"> </w:t>
      </w:r>
      <w:r>
        <w:t xml:space="preserve">para el rediseño del almacén destino en tres bloques: reglas físicas del layout, lectura del stock actual filtrado y validación metodológica del uso de market basket como apoyo secundario. El layout destino parte de</w:t>
      </w:r>
      <w:r>
        <w:t xml:space="preserve"> </w:t>
      </w:r>
      <w:r>
        <w:rPr>
          <w:b/>
          <w:bCs/>
        </w:rPr>
        <w:t xml:space="preserve">12 pasillos, 540 huecos equivalentes por pasillo y 6.480 huecos equivalentes máximos</w:t>
      </w:r>
      <w:r>
        <w:t xml:space="preserve">, con 108 posiciones útiles por pasillo y 5 alturas contables, y con la restricción de que la agrupación por propietario manda sobre cualquier otra lógica. fileciteturn3file3 fileciteturn2file0</w:t>
      </w:r>
    </w:p>
    <w:p>
      <w:pPr>
        <w:pStyle w:val="BodyText"/>
      </w:pPr>
      <w:r>
        <w:t xml:space="preserve">También he validado que el repositorio</w:t>
      </w:r>
      <w:r>
        <w:t xml:space="preserve"> </w:t>
      </w:r>
      <w:r>
        <w:rPr>
          <w:rStyle w:val="VerbatimChar"/>
        </w:rPr>
        <w:t xml:space="preserve">market_basket</w:t>
      </w:r>
      <w:r>
        <w:t xml:space="preserve"> </w:t>
      </w:r>
      <w:r>
        <w:rPr>
          <w:b/>
          <w:bCs/>
        </w:rPr>
        <w:t xml:space="preserve">sí sirve para afinidad SKU-SKU y para secuenciación interna</w:t>
      </w:r>
      <w:r>
        <w:t xml:space="preserve">, pero</w:t>
      </w:r>
      <w:r>
        <w:t xml:space="preserve"> </w:t>
      </w:r>
      <w:r>
        <w:rPr>
          <w:b/>
          <w:bCs/>
        </w:rPr>
        <w:t xml:space="preserve">no modela capacidad física ni distancia real</w:t>
      </w:r>
      <w:r>
        <w:t xml:space="preserve">, por lo que no debe gobernar la asignación principal del layout. El propio repo declara que la transacción correcta es</w:t>
      </w:r>
      <w:r>
        <w:t xml:space="preserve"> </w:t>
      </w:r>
      <w:r>
        <w:rPr>
          <w:rStyle w:val="VerbatimChar"/>
        </w:rPr>
        <w:t xml:space="preserve">Pedido externo + Propietario</w:t>
      </w:r>
      <w:r>
        <w:t xml:space="preserve">, y que el modelo está pensado para cercanía operativa, no para rediseñar capacidad física por sí solo.</w:t>
      </w:r>
      <w:r>
        <w:t xml:space="preserve"> </w:t>
      </w:r>
      <w:hyperlink r:id="rId21">
        <w:r>
          <w:rPr>
            <w:rStyle w:val="Hyperlink"/>
          </w:rPr>
          <w:t xml:space="preserve">[1]</w:t>
        </w:r>
      </w:hyperlink>
      <w:r>
        <w:t xml:space="preserve"> </w:t>
      </w:r>
      <w:hyperlink r:id="rId22">
        <w:r>
          <w:rPr>
            <w:rStyle w:val="Hyperlink"/>
          </w:rPr>
          <w:t xml:space="preserve">[2]</w:t>
        </w:r>
      </w:hyperlink>
    </w:p>
    <w:p>
      <w:pPr>
        <w:pStyle w:val="BodyText"/>
      </w:pPr>
      <w:r>
        <w:t xml:space="preserve">La conclusión más importante es esta:</w:t>
      </w:r>
      <w:r>
        <w:t xml:space="preserve"> </w:t>
      </w:r>
      <w:r>
        <w:rPr>
          <w:b/>
          <w:bCs/>
        </w:rPr>
        <w:t xml:space="preserve">con lo que hoy está bien soportado, sí puedes arrancar ya el diseño físico mínimo de infraestructuras</w:t>
      </w:r>
      <w:r>
        <w:t xml:space="preserve">, pero</w:t>
      </w:r>
      <w:r>
        <w:t xml:space="preserve"> </w:t>
      </w:r>
      <w:r>
        <w:rPr>
          <w:b/>
          <w:bCs/>
        </w:rPr>
        <w:t xml:space="preserve">no puedes cerrar aún un dimensionamiento final robusto del stock externo</w:t>
      </w:r>
      <w:r>
        <w:t xml:space="preserve"> </w:t>
      </w:r>
      <w:r>
        <w:t xml:space="preserve">sin validar antes su granularidad y sus factores de paletización. La evidencia es objetiva: en el fichero externo hay repetición relevante de</w:t>
      </w:r>
      <w:r>
        <w:t xml:space="preserve"> </w:t>
      </w:r>
      <w:r>
        <w:rPr>
          <w:rStyle w:val="VerbatimChar"/>
        </w:rPr>
        <w:t xml:space="preserve">ADR</w:t>
      </w:r>
      <w:r>
        <w:t xml:space="preserve"> </w:t>
      </w:r>
      <w:r>
        <w:t xml:space="preserve">y una correspondencia parcial, no consistente, entre</w:t>
      </w:r>
      <w:r>
        <w:t xml:space="preserve"> </w:t>
      </w:r>
      <w:r>
        <w:rPr>
          <w:rStyle w:val="VerbatimChar"/>
        </w:rPr>
        <w:t xml:space="preserve">QCNT</w:t>
      </w:r>
      <w:r>
        <w:t xml:space="preserve"> </w:t>
      </w:r>
      <w:r>
        <w:t xml:space="preserve">y</w:t>
      </w:r>
      <w:r>
        <w:t xml:space="preserve"> </w:t>
      </w:r>
      <w:r>
        <w:rPr>
          <w:rStyle w:val="VerbatimChar"/>
        </w:rPr>
        <w:t xml:space="preserve">UDS</w:t>
      </w:r>
      <w:r>
        <w:t xml:space="preserve">; eso invalida cualquier conversión ingenua tipo “1 línea = 1 palet” o “UDS = huecos”. En mis pruebas, cuando se fuerza una conversión conservadora sin ese mapeo, el resultado explota y deja de ser creíble para decisión. Ese hallazgo no es un fallo del análisis; es una alerta real de calidad de dato.</w:t>
      </w:r>
    </w:p>
    <w:p>
      <w:pPr>
        <w:pStyle w:val="BodyText"/>
      </w:pPr>
      <w:r>
        <w:t xml:space="preserve">Lo que sí queda bien soportado ya es el</w:t>
      </w:r>
      <w:r>
        <w:t xml:space="preserve"> </w:t>
      </w:r>
      <w:r>
        <w:rPr>
          <w:b/>
          <w:bCs/>
        </w:rPr>
        <w:t xml:space="preserve">mínimo de suelo especial visible hoy</w:t>
      </w:r>
      <w:r>
        <w:t xml:space="preserve"> </w:t>
      </w:r>
      <w:r>
        <w:t xml:space="preserve">en el stock actual filtrado. En cálculo propio sobre la fotostock actual, salen como base mínima observada:</w:t>
      </w:r>
    </w:p>
    <w:p>
      <w:pPr>
        <w:pStyle w:val="Compact"/>
        <w:numPr>
          <w:ilvl w:val="0"/>
          <w:numId w:val="1001"/>
        </w:numPr>
      </w:pPr>
      <w:r>
        <w:rPr>
          <w:b/>
          <w:bCs/>
        </w:rPr>
        <w:t xml:space="preserve">252 posiciones</w:t>
      </w:r>
      <w:r>
        <w:t xml:space="preserve"> </w:t>
      </w:r>
      <w:r>
        <w:t xml:space="preserve">de suelo alto 2,50 m</w:t>
      </w:r>
    </w:p>
    <w:p>
      <w:pPr>
        <w:pStyle w:val="Compact"/>
        <w:numPr>
          <w:ilvl w:val="0"/>
          <w:numId w:val="1001"/>
        </w:numPr>
      </w:pPr>
      <w:r>
        <w:rPr>
          <w:b/>
          <w:bCs/>
        </w:rPr>
        <w:t xml:space="preserve">120 posiciones</w:t>
      </w:r>
      <w:r>
        <w:t xml:space="preserve"> </w:t>
      </w:r>
      <w:r>
        <w:t xml:space="preserve">de suelo muy alto 3,00 m</w:t>
      </w:r>
    </w:p>
    <w:p>
      <w:pPr>
        <w:pStyle w:val="Compact"/>
        <w:numPr>
          <w:ilvl w:val="0"/>
          <w:numId w:val="1001"/>
        </w:numPr>
      </w:pPr>
      <w:r>
        <w:rPr>
          <w:b/>
          <w:bCs/>
        </w:rPr>
        <w:t xml:space="preserve">101 posiciones</w:t>
      </w:r>
      <w:r>
        <w:t xml:space="preserve"> </w:t>
      </w:r>
      <w:r>
        <w:t xml:space="preserve">de suelo 1,26 + balda</w:t>
      </w:r>
    </w:p>
    <w:p>
      <w:pPr>
        <w:pStyle w:val="Compact"/>
        <w:numPr>
          <w:ilvl w:val="0"/>
          <w:numId w:val="1001"/>
        </w:numPr>
      </w:pPr>
      <w:r>
        <w:rPr>
          <w:b/>
          <w:bCs/>
        </w:rPr>
        <w:t xml:space="preserve">540 subhuecos</w:t>
      </w:r>
      <w:r>
        <w:t xml:space="preserve"> </w:t>
      </w:r>
      <w:r>
        <w:t xml:space="preserve">de balda 9 huecos</w:t>
      </w:r>
    </w:p>
    <w:p>
      <w:pPr>
        <w:pStyle w:val="FirstParagraph"/>
      </w:pPr>
      <w:r>
        <w:t xml:space="preserve">Traducido a infraestructura mínima visible hoy, el arranque razonable es:</w:t>
      </w:r>
    </w:p>
    <w:p>
      <w:pPr>
        <w:pStyle w:val="Compact"/>
        <w:numPr>
          <w:ilvl w:val="0"/>
          <w:numId w:val="1002"/>
        </w:numPr>
      </w:pPr>
      <w:r>
        <w:rPr>
          <w:b/>
          <w:bCs/>
        </w:rPr>
        <w:t xml:space="preserve">121 módulos</w:t>
      </w:r>
      <w:r>
        <w:t xml:space="preserve"> </w:t>
      </w:r>
      <w:r>
        <w:t xml:space="preserve">de 3 EU para suelo 2,50 m</w:t>
      </w:r>
    </w:p>
    <w:p>
      <w:pPr>
        <w:pStyle w:val="Compact"/>
        <w:numPr>
          <w:ilvl w:val="0"/>
          <w:numId w:val="1002"/>
        </w:numPr>
      </w:pPr>
      <w:r>
        <w:rPr>
          <w:b/>
          <w:bCs/>
        </w:rPr>
        <w:t xml:space="preserve">40 módulos</w:t>
      </w:r>
      <w:r>
        <w:t xml:space="preserve"> </w:t>
      </w:r>
      <w:r>
        <w:t xml:space="preserve">de 3 EU para suelo 3,00 m</w:t>
      </w:r>
    </w:p>
    <w:p>
      <w:pPr>
        <w:pStyle w:val="Compact"/>
        <w:numPr>
          <w:ilvl w:val="0"/>
          <w:numId w:val="1002"/>
        </w:numPr>
      </w:pPr>
      <w:r>
        <w:rPr>
          <w:b/>
          <w:bCs/>
        </w:rPr>
        <w:t xml:space="preserve">40 módulos</w:t>
      </w:r>
      <w:r>
        <w:t xml:space="preserve"> </w:t>
      </w:r>
      <w:r>
        <w:t xml:space="preserve">de 3 EU para suelo 1,26 + balda</w:t>
      </w:r>
    </w:p>
    <w:p>
      <w:pPr>
        <w:pStyle w:val="Compact"/>
        <w:numPr>
          <w:ilvl w:val="0"/>
          <w:numId w:val="1002"/>
        </w:numPr>
      </w:pPr>
      <w:r>
        <w:rPr>
          <w:b/>
          <w:bCs/>
        </w:rPr>
        <w:t xml:space="preserve">557 módulos</w:t>
      </w:r>
      <w:r>
        <w:t xml:space="preserve"> </w:t>
      </w:r>
      <w:r>
        <w:t xml:space="preserve">equivalentes para balda 9 huecos</w:t>
      </w:r>
    </w:p>
    <w:p>
      <w:pPr>
        <w:pStyle w:val="FirstParagraph"/>
      </w:pPr>
      <w:r>
        <w:t xml:space="preserve">Además, solo las transformaciones visibles de</w:t>
      </w:r>
      <w:r>
        <w:t xml:space="preserve"> </w:t>
      </w:r>
      <w:r>
        <w:rPr>
          <w:b/>
          <w:bCs/>
        </w:rPr>
        <w:t xml:space="preserve">2,50 m y 3,00 m</w:t>
      </w:r>
      <w:r>
        <w:t xml:space="preserve"> </w:t>
      </w:r>
      <w:r>
        <w:t xml:space="preserve">ya implican una</w:t>
      </w:r>
      <w:r>
        <w:t xml:space="preserve"> </w:t>
      </w:r>
      <w:r>
        <w:rPr>
          <w:b/>
          <w:bCs/>
        </w:rPr>
        <w:t xml:space="preserve">penalización mínima de 372 posiciones sobre la altura 10</w:t>
      </w:r>
      <w:r>
        <w:t xml:space="preserve"> </w:t>
      </w:r>
      <w:r>
        <w:t xml:space="preserve">del diseño destino, porque esa es la única altura estructuralmente afectada por el sobrealto de suelo, tal como marcas en tus reglas. fileciteturn2file0</w:t>
      </w:r>
    </w:p>
    <w:p>
      <w:pPr>
        <w:pStyle w:val="BodyText"/>
      </w:pPr>
      <w:r>
        <w:t xml:space="preserve">Mi recomendación operativa es clara:</w:t>
      </w:r>
      <w:r>
        <w:t xml:space="preserve"> </w:t>
      </w:r>
      <w:r>
        <w:rPr>
          <w:b/>
          <w:bCs/>
        </w:rPr>
        <w:t xml:space="preserve">usar 90% como escenario de diseño</w:t>
      </w:r>
      <w:r>
        <w:t xml:space="preserve">, no 95%, y cerrar ahora un layout lógico por propietario con pasillos rápidos reservados a los propietarios con más salidas históricas, dejando el stock externo tratado en dos capas: una parte absorbible ya y otra parte retenida como “no asignación final hasta validar equivalencias”. Con el dato actual, el error grave no sería sobredimensionar un módulo de suelo; sería</w:t>
      </w:r>
      <w:r>
        <w:t xml:space="preserve"> </w:t>
      </w:r>
      <w:r>
        <w:rPr>
          <w:b/>
          <w:bCs/>
        </w:rPr>
        <w:t xml:space="preserve">cerrar inline el stock externo como si ya estuviera convertido de forma fiable a posiciones palet</w:t>
      </w:r>
      <w:r>
        <w:t xml:space="preserve">.</w:t>
      </w:r>
    </w:p>
    <w:bookmarkEnd w:id="23"/>
    <w:bookmarkStart w:id="24" w:name="qué-datos-he-encontrado-y-usado"/>
    <w:p>
      <w:pPr>
        <w:pStyle w:val="Heading2"/>
      </w:pPr>
      <w:r>
        <w:t xml:space="preserve">Qué datos he encontrado y usado</w:t>
      </w:r>
    </w:p>
    <w:p>
      <w:pPr>
        <w:pStyle w:val="FirstParagraph"/>
      </w:pPr>
      <w:r>
        <w:t xml:space="preserve">He trabajado con los siguientes inputs disponibles:</w:t>
      </w:r>
    </w:p>
    <w:p>
      <w:pPr>
        <w:pStyle w:val="Compact"/>
        <w:numPr>
          <w:ilvl w:val="0"/>
          <w:numId w:val="1003"/>
        </w:numPr>
      </w:pPr>
      <w:r>
        <w:rPr>
          <w:rStyle w:val="VerbatimChar"/>
        </w:rPr>
        <w:t xml:space="preserve">17-04-2026.xlsx</w:t>
      </w:r>
      <w:r>
        <w:t xml:space="preserve"> </w:t>
      </w:r>
      <w:r>
        <w:t xml:space="preserve">como fotostock actual del almacén origen.</w:t>
      </w:r>
    </w:p>
    <w:p>
      <w:pPr>
        <w:pStyle w:val="Compact"/>
        <w:numPr>
          <w:ilvl w:val="0"/>
          <w:numId w:val="1003"/>
        </w:numPr>
      </w:pPr>
      <w:r>
        <w:rPr>
          <w:rStyle w:val="VerbatimChar"/>
        </w:rPr>
        <w:t xml:space="preserve">maestro_dimensiones_limpio.xlsx</w:t>
      </w:r>
      <w:r>
        <w:t xml:space="preserve"> </w:t>
      </w:r>
      <w:r>
        <w:t xml:space="preserve">como maestro de dimensiones.</w:t>
      </w:r>
    </w:p>
    <w:p>
      <w:pPr>
        <w:pStyle w:val="Compact"/>
        <w:numPr>
          <w:ilvl w:val="0"/>
          <w:numId w:val="1003"/>
        </w:numPr>
      </w:pPr>
      <w:r>
        <w:rPr>
          <w:rStyle w:val="VerbatimChar"/>
        </w:rPr>
        <w:t xml:space="preserve">STOCK_MAP_FACT_MAHOU_260415020005.xlsx</w:t>
      </w:r>
      <w:r>
        <w:t xml:space="preserve"> </w:t>
      </w:r>
      <w:r>
        <w:t xml:space="preserve">como stock externo.</w:t>
      </w:r>
    </w:p>
    <w:p>
      <w:pPr>
        <w:pStyle w:val="Compact"/>
        <w:numPr>
          <w:ilvl w:val="0"/>
          <w:numId w:val="1003"/>
        </w:numPr>
      </w:pPr>
      <w:r>
        <w:rPr>
          <w:rStyle w:val="VerbatimChar"/>
        </w:rPr>
        <w:t xml:space="preserve">movimientos.xlsx</w:t>
      </w:r>
      <w:r>
        <w:t xml:space="preserve"> </w:t>
      </w:r>
      <w:r>
        <w:t xml:space="preserve">como histórico de movimientos para priorización operativa.</w:t>
      </w:r>
    </w:p>
    <w:p>
      <w:pPr>
        <w:pStyle w:val="Compact"/>
        <w:numPr>
          <w:ilvl w:val="0"/>
          <w:numId w:val="1003"/>
        </w:numPr>
      </w:pPr>
      <w:r>
        <w:rPr>
          <w:rStyle w:val="VerbatimChar"/>
        </w:rPr>
        <w:t xml:space="preserve">lineas_solicitudes_con_pedidos.xlsx</w:t>
      </w:r>
      <w:r>
        <w:t xml:space="preserve"> </w:t>
      </w:r>
      <w:r>
        <w:t xml:space="preserve">como apoyo potencial para servicios y pedidos.</w:t>
      </w:r>
    </w:p>
    <w:p>
      <w:pPr>
        <w:pStyle w:val="Compact"/>
        <w:numPr>
          <w:ilvl w:val="0"/>
          <w:numId w:val="1003"/>
        </w:numPr>
      </w:pPr>
      <w:r>
        <w:rPr>
          <w:rStyle w:val="VerbatimChar"/>
        </w:rPr>
        <w:t xml:space="preserve">layout chatgpt.docx</w:t>
      </w:r>
      <w:r>
        <w:t xml:space="preserve"> </w:t>
      </w:r>
      <w:r>
        <w:t xml:space="preserve">como documento operativo de reglas físicas y excepciones del layout actual y del destino. fileciteturn2file0</w:t>
      </w:r>
    </w:p>
    <w:p>
      <w:pPr>
        <w:pStyle w:val="Compact"/>
        <w:numPr>
          <w:ilvl w:val="0"/>
          <w:numId w:val="1003"/>
        </w:numPr>
      </w:pPr>
      <w:r>
        <w:t xml:space="preserve">Repositorio</w:t>
      </w:r>
      <w:r>
        <w:t xml:space="preserve"> </w:t>
      </w:r>
      <w:r>
        <w:rPr>
          <w:rStyle w:val="VerbatimChar"/>
        </w:rPr>
        <w:t xml:space="preserve">rdiezlla/market_basket</w:t>
      </w:r>
      <w:r>
        <w:t xml:space="preserve"> </w:t>
      </w:r>
      <w:r>
        <w:t xml:space="preserve">como apoyo para afinidad SKU-SKU y lógica transaccional. El README y la metadata del último run permiten validar qué hace, qué no hace y con qué definición de transacción trabaja.</w:t>
      </w:r>
      <w:r>
        <w:t xml:space="preserve"> </w:t>
      </w:r>
      <w:hyperlink r:id="rId21">
        <w:r>
          <w:rPr>
            <w:rStyle w:val="Hyperlink"/>
          </w:rPr>
          <w:t xml:space="preserve">[1]</w:t>
        </w:r>
      </w:hyperlink>
      <w:r>
        <w:t xml:space="preserve"> </w:t>
      </w:r>
      <w:hyperlink r:id="rId22">
        <w:r>
          <w:rPr>
            <w:rStyle w:val="Hyperlink"/>
          </w:rPr>
          <w:t xml:space="preserve">[2]</w:t>
        </w:r>
      </w:hyperlink>
    </w:p>
    <w:p>
      <w:pPr>
        <w:pStyle w:val="FirstParagraph"/>
      </w:pPr>
      <w:r>
        <w:t xml:space="preserve">Faltan dos piezas que tú pedías y que</w:t>
      </w:r>
      <w:r>
        <w:t xml:space="preserve"> </w:t>
      </w:r>
      <w:r>
        <w:rPr>
          <w:b/>
          <w:bCs/>
        </w:rPr>
        <w:t xml:space="preserve">no han aparecido</w:t>
      </w:r>
      <w:r>
        <w:t xml:space="preserve"> </w:t>
      </w:r>
      <w:r>
        <w:t xml:space="preserve">entre los ficheros disponibles:</w:t>
      </w:r>
    </w:p>
    <w:p>
      <w:pPr>
        <w:pStyle w:val="Compact"/>
        <w:numPr>
          <w:ilvl w:val="0"/>
          <w:numId w:val="1004"/>
        </w:numPr>
      </w:pPr>
      <w:r>
        <w:rPr>
          <w:rStyle w:val="VerbatimChar"/>
        </w:rPr>
        <w:t xml:space="preserve">propietario_departamento</w:t>
      </w:r>
    </w:p>
    <w:p>
      <w:pPr>
        <w:pStyle w:val="Compact"/>
        <w:numPr>
          <w:ilvl w:val="0"/>
          <w:numId w:val="1004"/>
        </w:numPr>
      </w:pPr>
      <w:r>
        <w:t xml:space="preserve">estudio previo de dimensionamiento</w:t>
      </w:r>
    </w:p>
    <w:p>
      <w:pPr>
        <w:pStyle w:val="FirstParagraph"/>
      </w:pPr>
      <w:r>
        <w:t xml:space="preserve">Además, dentro del repositorio seleccionado de</w:t>
      </w:r>
      <w:r>
        <w:t xml:space="preserve"> </w:t>
      </w:r>
      <w:r>
        <w:rPr>
          <w:rStyle w:val="VerbatimChar"/>
        </w:rPr>
        <w:t xml:space="preserve">market_basket</w:t>
      </w:r>
      <w:r>
        <w:t xml:space="preserve"> </w:t>
      </w:r>
      <w:r>
        <w:rPr>
          <w:b/>
          <w:bCs/>
        </w:rPr>
        <w:t xml:space="preserve">no he encontrado outputs ABC/Pareto cerrados reutilizables</w:t>
      </w:r>
      <w:r>
        <w:t xml:space="preserve">; sí hay metadata del modelo y definición de outputs posibles, pero no una tabla ABC final lista para consumo en lo que has puesto a disposición dentro del repo seleccionado.</w:t>
      </w:r>
      <w:r>
        <w:t xml:space="preserve"> </w:t>
      </w:r>
      <w:hyperlink r:id="rId21">
        <w:r>
          <w:rPr>
            <w:rStyle w:val="Hyperlink"/>
          </w:rPr>
          <w:t xml:space="preserve">[1]</w:t>
        </w:r>
      </w:hyperlink>
    </w:p>
    <w:p>
      <w:pPr>
        <w:pStyle w:val="BodyText"/>
      </w:pPr>
      <w:r>
        <w:t xml:space="preserve">Sobre calidad de dato, sí puedo decir algo sólido:</w:t>
      </w:r>
    </w:p>
    <w:p>
      <w:pPr>
        <w:pStyle w:val="Compact"/>
        <w:numPr>
          <w:ilvl w:val="0"/>
          <w:numId w:val="1005"/>
        </w:numPr>
      </w:pPr>
      <w:r>
        <w:t xml:space="preserve">La fotostock actual es usable para dimensionar el estado observado.</w:t>
      </w:r>
    </w:p>
    <w:p>
      <w:pPr>
        <w:pStyle w:val="Compact"/>
        <w:numPr>
          <w:ilvl w:val="0"/>
          <w:numId w:val="1005"/>
        </w:numPr>
      </w:pPr>
      <w:r>
        <w:t xml:space="preserve">El layout actual está suficientemente descrito como para clasificar suelo especial.</w:t>
      </w:r>
    </w:p>
    <w:p>
      <w:pPr>
        <w:pStyle w:val="Compact"/>
        <w:numPr>
          <w:ilvl w:val="0"/>
          <w:numId w:val="1005"/>
        </w:numPr>
      </w:pPr>
      <w:r>
        <w:t xml:space="preserve">El stock externo</w:t>
      </w:r>
      <w:r>
        <w:t xml:space="preserve"> </w:t>
      </w:r>
      <w:r>
        <w:rPr>
          <w:b/>
          <w:bCs/>
        </w:rPr>
        <w:t xml:space="preserve">no es usable directamente</w:t>
      </w:r>
      <w:r>
        <w:t xml:space="preserve"> </w:t>
      </w:r>
      <w:r>
        <w:t xml:space="preserve">como palets equivalentes sin una validación previa de granularidad.</w:t>
      </w:r>
    </w:p>
    <w:p>
      <w:pPr>
        <w:pStyle w:val="Compact"/>
        <w:numPr>
          <w:ilvl w:val="0"/>
          <w:numId w:val="1005"/>
        </w:numPr>
      </w:pPr>
      <w:r>
        <w:rPr>
          <w:rStyle w:val="VerbatimChar"/>
        </w:rPr>
        <w:t xml:space="preserve">market_basket</w:t>
      </w:r>
      <w:r>
        <w:t xml:space="preserve"> </w:t>
      </w:r>
      <w:r>
        <w:t xml:space="preserve">es útil para proximidades internas, no para fijar capacidad física principal. fileciteturn3file4</w:t>
      </w:r>
      <w:r>
        <w:t xml:space="preserve"> </w:t>
      </w:r>
      <w:hyperlink r:id="rId21">
        <w:r>
          <w:rPr>
            <w:rStyle w:val="Hyperlink"/>
          </w:rPr>
          <w:t xml:space="preserve">[1]</w:t>
        </w:r>
      </w:hyperlink>
    </w:p>
    <w:bookmarkEnd w:id="24"/>
    <w:bookmarkStart w:id="25" w:name="bloqueos-riesgos-y-supuestos-críticos"/>
    <w:p>
      <w:pPr>
        <w:pStyle w:val="Heading2"/>
      </w:pPr>
      <w:r>
        <w:t xml:space="preserve">Bloqueos, riesgos y supuestos críticos</w:t>
      </w:r>
    </w:p>
    <w:p>
      <w:pPr>
        <w:pStyle w:val="FirstParagraph"/>
      </w:pPr>
      <w:r>
        <w:t xml:space="preserve">El bloqueo principal no es de modelo, sino de</w:t>
      </w:r>
      <w:r>
        <w:t xml:space="preserve"> </w:t>
      </w:r>
      <w:r>
        <w:rPr>
          <w:b/>
          <w:bCs/>
        </w:rPr>
        <w:t xml:space="preserve">semántica del dato</w:t>
      </w:r>
      <w:r>
        <w:t xml:space="preserve">.</w:t>
      </w:r>
    </w:p>
    <w:p>
      <w:pPr>
        <w:pStyle w:val="BodyText"/>
      </w:pPr>
      <w:r>
        <w:t xml:space="preserve">El primer riesgo crítico es el</w:t>
      </w:r>
      <w:r>
        <w:t xml:space="preserve"> </w:t>
      </w:r>
      <w:r>
        <w:rPr>
          <w:b/>
          <w:bCs/>
        </w:rPr>
        <w:t xml:space="preserve">stock externo</w:t>
      </w:r>
      <w:r>
        <w:t xml:space="preserve">. Antes de convertirlo a huecos del nuevo almacén, hay que cerrar qué representa cada línea: si bin, lote, saldo por dirección, pseudo-palet o saldo agregado de artículo-reserva. Mientras eso no quede demostrado, cualquier número final de pasillos por propietario que incluya ese stock tendrá un rango de error demasiado alto.</w:t>
      </w:r>
    </w:p>
    <w:p>
      <w:pPr>
        <w:pStyle w:val="BodyText"/>
      </w:pPr>
      <w:r>
        <w:t xml:space="preserve">El segundo riesgo crítico es el</w:t>
      </w:r>
      <w:r>
        <w:t xml:space="preserve"> </w:t>
      </w:r>
      <w:r>
        <w:rPr>
          <w:b/>
          <w:bCs/>
        </w:rPr>
        <w:t xml:space="preserve">maestro de dimensiones</w:t>
      </w:r>
      <w:r>
        <w:t xml:space="preserve">. No he podido cerrar con nivel de certeza suficiente si las dimensiones están homogéneamente expresadas en metros útiles de paletización o si incluyen casos con unidad anómala, dummy o codificación operativa. En mis pruebas conservadoras, ese ruido dispara falsas asignaciones a suelo 3,00 m.</w:t>
      </w:r>
    </w:p>
    <w:p>
      <w:pPr>
        <w:pStyle w:val="BodyText"/>
      </w:pPr>
      <w:r>
        <w:t xml:space="preserve">El tercer riesgo es que</w:t>
      </w:r>
      <w:r>
        <w:t xml:space="preserve"> </w:t>
      </w:r>
      <w:r>
        <w:rPr>
          <w:b/>
          <w:bCs/>
        </w:rPr>
        <w:t xml:space="preserve">balda 9 huecos y suelo 1,26 + balda no son comparables 1:1 con un hueco palet equivalente</w:t>
      </w:r>
      <w:r>
        <w:t xml:space="preserve">. Eso obliga a separar siempre:</w:t>
      </w:r>
    </w:p>
    <w:p>
      <w:pPr>
        <w:pStyle w:val="Compact"/>
        <w:numPr>
          <w:ilvl w:val="0"/>
          <w:numId w:val="1006"/>
        </w:numPr>
      </w:pPr>
      <w:r>
        <w:t xml:space="preserve">capacidad estándar EU/AM/TR,</w:t>
      </w:r>
    </w:p>
    <w:p>
      <w:pPr>
        <w:pStyle w:val="Compact"/>
        <w:numPr>
          <w:ilvl w:val="0"/>
          <w:numId w:val="1006"/>
        </w:numPr>
      </w:pPr>
      <w:r>
        <w:t xml:space="preserve">capacidad de suelo obligatorio,</w:t>
      </w:r>
    </w:p>
    <w:p>
      <w:pPr>
        <w:pStyle w:val="Compact"/>
        <w:numPr>
          <w:ilvl w:val="0"/>
          <w:numId w:val="1006"/>
        </w:numPr>
      </w:pPr>
      <w:r>
        <w:t xml:space="preserve">capacidad de pequeño formato.</w:t>
      </w:r>
    </w:p>
    <w:p>
      <w:pPr>
        <w:pStyle w:val="FirstParagraph"/>
      </w:pPr>
      <w:r>
        <w:t xml:space="preserve">El cuarto riesgo es la ausencia de</w:t>
      </w:r>
      <w:r>
        <w:t xml:space="preserve"> </w:t>
      </w:r>
      <w:r>
        <w:rPr>
          <w:rStyle w:val="VerbatimChar"/>
        </w:rPr>
        <w:t xml:space="preserve">propietario_departamento</w:t>
      </w:r>
      <w:r>
        <w:t xml:space="preserve">, que te iba a ayudar a consolidar buckets y a interpretar mejor</w:t>
      </w:r>
      <w:r>
        <w:t xml:space="preserve"> </w:t>
      </w:r>
      <w:r>
        <w:rPr>
          <w:rStyle w:val="VerbatimChar"/>
        </w:rPr>
        <w:t xml:space="preserve">RESERVA</w:t>
      </w:r>
      <w:r>
        <w:t xml:space="preserve"> </w:t>
      </w:r>
      <w:r>
        <w:t xml:space="preserve">del stock externo.</w:t>
      </w:r>
    </w:p>
    <w:p>
      <w:pPr>
        <w:pStyle w:val="BodyText"/>
      </w:pPr>
      <w:r>
        <w:t xml:space="preserve">El quinto riesgo es no disponer del estudio previo para una comparación recalculada real. Puedo decir en qué cambia conceptualmente la solución, pero no puedo cuantificar contra un baseline documental no entregado.</w:t>
      </w:r>
    </w:p>
    <w:p>
      <w:pPr>
        <w:pStyle w:val="BodyText"/>
      </w:pPr>
      <w:r>
        <w:t xml:space="preserve">Supuestos que sí he aplicado porque son operativamente correctos y vienen de tus reglas:</w:t>
      </w:r>
    </w:p>
    <w:p>
      <w:pPr>
        <w:pStyle w:val="Compact"/>
        <w:numPr>
          <w:ilvl w:val="0"/>
          <w:numId w:val="1007"/>
        </w:numPr>
      </w:pPr>
      <w:r>
        <w:t xml:space="preserve">propietario manda sobre afinidad,</w:t>
      </w:r>
    </w:p>
    <w:p>
      <w:pPr>
        <w:pStyle w:val="Compact"/>
        <w:numPr>
          <w:ilvl w:val="0"/>
          <w:numId w:val="1007"/>
        </w:numPr>
      </w:pPr>
      <w:r>
        <w:t xml:space="preserve">pasillos 6 a 21 como base del almacén origen, excluyendo 17 y 21,</w:t>
      </w:r>
    </w:p>
    <w:p>
      <w:pPr>
        <w:pStyle w:val="Compact"/>
        <w:numPr>
          <w:ilvl w:val="0"/>
          <w:numId w:val="1007"/>
        </w:numPr>
      </w:pPr>
      <w:r>
        <w:t xml:space="preserve">exclusión de</w:t>
      </w:r>
      <w:r>
        <w:t xml:space="preserve"> </w:t>
      </w:r>
      <w:r>
        <w:rPr>
          <w:rStyle w:val="VerbatimChar"/>
        </w:rPr>
        <w:t xml:space="preserve">200-xxx-xx</w:t>
      </w:r>
      <w:r>
        <w:t xml:space="preserve">,</w:t>
      </w:r>
    </w:p>
    <w:p>
      <w:pPr>
        <w:pStyle w:val="Compact"/>
        <w:numPr>
          <w:ilvl w:val="0"/>
          <w:numId w:val="1007"/>
        </w:numPr>
      </w:pPr>
      <w:r>
        <w:t xml:space="preserve">todo lo ubicado hoy en tramos especiales de suelo debe seguir en suelo,</w:t>
      </w:r>
    </w:p>
    <w:p>
      <w:pPr>
        <w:pStyle w:val="Compact"/>
        <w:numPr>
          <w:ilvl w:val="0"/>
          <w:numId w:val="1007"/>
        </w:numPr>
      </w:pPr>
      <w:r>
        <w:t xml:space="preserve">2,50 m y 3,00 m penalizan la altura 10,</w:t>
      </w:r>
    </w:p>
    <w:p>
      <w:pPr>
        <w:pStyle w:val="Compact"/>
        <w:numPr>
          <w:ilvl w:val="0"/>
          <w:numId w:val="1007"/>
        </w:numPr>
      </w:pPr>
      <w:r>
        <w:t xml:space="preserve">1,26 + balda no penaliza la altura 10,</w:t>
      </w:r>
    </w:p>
    <w:p>
      <w:pPr>
        <w:pStyle w:val="Compact"/>
        <w:numPr>
          <w:ilvl w:val="0"/>
          <w:numId w:val="1007"/>
        </w:numPr>
      </w:pPr>
      <w:r>
        <w:t xml:space="preserve">balda y baldas son suelo obligatorio. fileciteturn2file0</w:t>
      </w:r>
    </w:p>
    <w:p>
      <w:pPr>
        <w:pStyle w:val="FirstParagraph"/>
      </w:pPr>
      <w:r>
        <w:t xml:space="preserve">El dato faltante que más puede cambiar el resultado es uno solo:</w:t>
      </w:r>
      <w:r>
        <w:t xml:space="preserve"> </w:t>
      </w:r>
      <w:r>
        <w:rPr>
          <w:b/>
          <w:bCs/>
        </w:rPr>
        <w:t xml:space="preserve">el factor de equivalencia fiable artículo-propietario para convertir</w:t>
      </w:r>
      <w:r>
        <w:rPr>
          <w:b/>
          <w:bCs/>
        </w:rPr>
        <w:t xml:space="preserve"> </w:t>
      </w:r>
      <w:r>
        <w:rPr>
          <w:rStyle w:val="VerbatimChar"/>
          <w:b/>
          <w:bCs/>
        </w:rPr>
        <w:t xml:space="preserve">UDS</w:t>
      </w:r>
      <w:r>
        <w:rPr>
          <w:b/>
          <w:bCs/>
        </w:rPr>
        <w:t xml:space="preserve"> </w:t>
      </w:r>
      <w:r>
        <w:rPr>
          <w:b/>
          <w:bCs/>
        </w:rPr>
        <w:t xml:space="preserve">del stock externo a posiciones reales</w:t>
      </w:r>
      <w:r>
        <w:t xml:space="preserve">.</w:t>
      </w:r>
    </w:p>
    <w:bookmarkEnd w:id="25"/>
    <w:bookmarkStart w:id="30" w:name="Xb7430e5b11ff27eaa4829d230111fb604b6be83"/>
    <w:p>
      <w:pPr>
        <w:pStyle w:val="Heading2"/>
      </w:pPr>
      <w:r>
        <w:t xml:space="preserve">Validación de granularidad del stock externo</w:t>
      </w:r>
    </w:p>
    <w:bookmarkStart w:id="26" w:name="qué-parece-representar-cada-línea"/>
    <w:p>
      <w:pPr>
        <w:pStyle w:val="Heading3"/>
      </w:pPr>
      <w:r>
        <w:t xml:space="preserve">Qué parece representar cada línea</w:t>
      </w:r>
    </w:p>
    <w:p>
      <w:pPr>
        <w:pStyle w:val="FirstParagraph"/>
      </w:pPr>
      <w:r>
        <w:t xml:space="preserve">Mi diagnóstico es que</w:t>
      </w:r>
      <w:r>
        <w:t xml:space="preserve"> </w:t>
      </w:r>
      <w:r>
        <w:rPr>
          <w:b/>
          <w:bCs/>
        </w:rPr>
        <w:t xml:space="preserve">cada línea no parece representar un palet</w:t>
      </w:r>
      <w:r>
        <w:t xml:space="preserve"> </w:t>
      </w:r>
      <w:r>
        <w:t xml:space="preserve">y</w:t>
      </w:r>
      <w:r>
        <w:t xml:space="preserve"> </w:t>
      </w:r>
      <w:r>
        <w:rPr>
          <w:b/>
          <w:bCs/>
        </w:rPr>
        <w:t xml:space="preserve">tampoco parece representar de forma fiable una ubicación palet estándar</w:t>
      </w:r>
      <w:r>
        <w:t xml:space="preserve">.</w:t>
      </w:r>
    </w:p>
    <w:p>
      <w:pPr>
        <w:pStyle w:val="BodyText"/>
      </w:pPr>
      <w:r>
        <w:t xml:space="preserve">Tampoco veo evidencia suficiente para afirmar que cada línea sea estrictamente una ubicación física única. Lo más razonable es tratar cada línea como</w:t>
      </w:r>
      <w:r>
        <w:t xml:space="preserve"> </w:t>
      </w:r>
      <w:r>
        <w:rPr>
          <w:b/>
          <w:bCs/>
        </w:rPr>
        <w:t xml:space="preserve">una línea de stock/bin/lote interno en una dirección operativa</w:t>
      </w:r>
      <w:r>
        <w:t xml:space="preserve">, no como una posición palet equivalente lista para sumar al layout.</w:t>
      </w:r>
    </w:p>
    <w:bookmarkEnd w:id="26"/>
    <w:bookmarkStart w:id="27" w:name="evidencia-objetiva"/>
    <w:p>
      <w:pPr>
        <w:pStyle w:val="Heading3"/>
      </w:pPr>
      <w:r>
        <w:t xml:space="preserve">Evidencia objetiva</w:t>
      </w:r>
    </w:p>
    <w:p>
      <w:pPr>
        <w:pStyle w:val="FirstParagraph"/>
      </w:pPr>
      <w:r>
        <w:t xml:space="preserve">En cálculo propio sobre</w:t>
      </w:r>
      <w:r>
        <w:t xml:space="preserve"> </w:t>
      </w:r>
      <w:r>
        <w:rPr>
          <w:rStyle w:val="VerbatimChar"/>
        </w:rPr>
        <w:t xml:space="preserve">STOCK_MAP_FACT_MAHOU_260415020005.xlsx</w:t>
      </w:r>
      <w:r>
        <w:t xml:space="preserve"> </w:t>
      </w:r>
      <w:r>
        <w:t xml:space="preserve">he encontrado dos señales fuertes:</w:t>
      </w:r>
    </w:p>
    <w:p>
      <w:pPr>
        <w:pStyle w:val="Compact"/>
        <w:numPr>
          <w:ilvl w:val="0"/>
          <w:numId w:val="1008"/>
        </w:numPr>
      </w:pPr>
      <w:r>
        <w:rPr>
          <w:b/>
          <w:bCs/>
        </w:rPr>
        <w:t xml:space="preserve">repetición de</w:t>
      </w:r>
      <w:r>
        <w:rPr>
          <w:b/>
          <w:bCs/>
        </w:rPr>
        <w:t xml:space="preserve"> </w:t>
      </w:r>
      <w:r>
        <w:rPr>
          <w:rStyle w:val="VerbatimChar"/>
          <w:b/>
          <w:bCs/>
        </w:rPr>
        <w:t xml:space="preserve">ADR</w:t>
      </w:r>
      <w:r>
        <w:rPr>
          <w:b/>
          <w:bCs/>
        </w:rPr>
        <w:t xml:space="preserve"> </w:t>
      </w:r>
      <w:r>
        <w:rPr>
          <w:b/>
          <w:bCs/>
        </w:rPr>
        <w:t xml:space="preserve">≈ 54,2%</w:t>
      </w:r>
      <w:r>
        <w:t xml:space="preserve"> </w:t>
      </w:r>
      <w:r>
        <w:t xml:space="preserve">respecto al total de filas; esto rompe la hipótesis “1 línea = 1 ubicación física única”.</w:t>
      </w:r>
    </w:p>
    <w:p>
      <w:pPr>
        <w:pStyle w:val="Compact"/>
        <w:numPr>
          <w:ilvl w:val="0"/>
          <w:numId w:val="1008"/>
        </w:numPr>
      </w:pPr>
      <w:r>
        <w:rPr>
          <w:rStyle w:val="VerbatimChar"/>
          <w:b/>
          <w:bCs/>
        </w:rPr>
        <w:t xml:space="preserve">QCNT = UDS</w:t>
      </w:r>
      <w:r>
        <w:rPr>
          <w:b/>
          <w:bCs/>
        </w:rPr>
        <w:t xml:space="preserve"> </w:t>
      </w:r>
      <w:r>
        <w:rPr>
          <w:b/>
          <w:bCs/>
        </w:rPr>
        <w:t xml:space="preserve">solo en ≈ 64,0% de las filas</w:t>
      </w:r>
      <w:r>
        <w:t xml:space="preserve">; si una línea fuese un palet o una ubicación palet inequívoca, esta consistencia debería ser mucho más alta o la semántica de ambas columnas debería demostrar otra cosa.</w:t>
      </w:r>
    </w:p>
    <w:p>
      <w:pPr>
        <w:pStyle w:val="FirstParagraph"/>
      </w:pPr>
      <w:r>
        <w:t xml:space="preserve">Eso encaja mejor con un extracto de stock operativo que con un maestro de huecos. Además, el propio contexto que me diste ya advertía de no asumir</w:t>
      </w:r>
      <w:r>
        <w:t xml:space="preserve"> </w:t>
      </w:r>
      <w:r>
        <w:rPr>
          <w:rStyle w:val="VerbatimChar"/>
        </w:rPr>
        <w:t xml:space="preserve">UDS</w:t>
      </w:r>
      <w:r>
        <w:t xml:space="preserve">,</w:t>
      </w:r>
      <w:r>
        <w:t xml:space="preserve"> </w:t>
      </w:r>
      <w:r>
        <w:rPr>
          <w:rStyle w:val="VerbatimChar"/>
        </w:rPr>
        <w:t xml:space="preserve">QCNT</w:t>
      </w:r>
      <w:r>
        <w:t xml:space="preserve"> </w:t>
      </w:r>
      <w:r>
        <w:t xml:space="preserve">o</w:t>
      </w:r>
      <w:r>
        <w:t xml:space="preserve"> </w:t>
      </w:r>
      <w:r>
        <w:rPr>
          <w:rStyle w:val="VerbatimChar"/>
        </w:rPr>
        <w:t xml:space="preserve">ADR</w:t>
      </w:r>
      <w:r>
        <w:t xml:space="preserve"> </w:t>
      </w:r>
      <w:r>
        <w:t xml:space="preserve">como palets, y el dato confirma que esa alerta era correcta.</w:t>
      </w:r>
    </w:p>
    <w:bookmarkEnd w:id="27"/>
    <w:bookmarkStart w:id="28" w:name="Xe7736758a9a7f81c954d898522c59c0609073c9"/>
    <w:p>
      <w:pPr>
        <w:pStyle w:val="Heading3"/>
      </w:pPr>
      <w:r>
        <w:t xml:space="preserve">Respuesta explícita a tus cuatro preguntas</w:t>
      </w:r>
    </w:p>
    <w:p>
      <w:pPr>
        <w:pStyle w:val="FirstParagraph"/>
      </w:pPr>
      <w:r>
        <w:rPr>
          <w:b/>
          <w:bCs/>
        </w:rPr>
        <w:t xml:space="preserve">¿Cada línea parece representar un palet?</w:t>
      </w:r>
      <w:r>
        <w:br/>
      </w:r>
      <w:r>
        <w:t xml:space="preserve">No.</w:t>
      </w:r>
    </w:p>
    <w:p>
      <w:pPr>
        <w:pStyle w:val="BodyText"/>
      </w:pPr>
      <w:r>
        <w:rPr>
          <w:b/>
          <w:bCs/>
        </w:rPr>
        <w:t xml:space="preserve">¿Cada línea parece representar una ubicación?</w:t>
      </w:r>
      <w:r>
        <w:br/>
      </w:r>
      <w:r>
        <w:t xml:space="preserve">No de forma consistente.</w:t>
      </w:r>
    </w:p>
    <w:p>
      <w:pPr>
        <w:pStyle w:val="BodyText"/>
      </w:pPr>
      <w:r>
        <w:rPr>
          <w:b/>
          <w:bCs/>
        </w:rPr>
        <w:t xml:space="preserve">¿Cada línea parece representar una línea de stock / lote / bin interno?</w:t>
      </w:r>
      <w:r>
        <w:br/>
      </w:r>
      <w:r>
        <w:t xml:space="preserve">Sí, esa es la hipótesis más plausible.</w:t>
      </w:r>
    </w:p>
    <w:p>
      <w:pPr>
        <w:pStyle w:val="BodyText"/>
      </w:pPr>
      <w:r>
        <w:rPr>
          <w:b/>
          <w:bCs/>
        </w:rPr>
        <w:t xml:space="preserve">¿Qué evidencia objetiva tengo para concluirlo?</w:t>
      </w:r>
      <w:r>
        <w:br/>
      </w:r>
      <w:r>
        <w:t xml:space="preserve">La repetición de</w:t>
      </w:r>
      <w:r>
        <w:t xml:space="preserve"> </w:t>
      </w:r>
      <w:r>
        <w:rPr>
          <w:rStyle w:val="VerbatimChar"/>
        </w:rPr>
        <w:t xml:space="preserve">ADR</w:t>
      </w:r>
      <w:r>
        <w:t xml:space="preserve">, la divergencia parcial entre</w:t>
      </w:r>
      <w:r>
        <w:t xml:space="preserve"> </w:t>
      </w:r>
      <w:r>
        <w:rPr>
          <w:rStyle w:val="VerbatimChar"/>
        </w:rPr>
        <w:t xml:space="preserve">QCNT</w:t>
      </w:r>
      <w:r>
        <w:t xml:space="preserve"> </w:t>
      </w:r>
      <w:r>
        <w:t xml:space="preserve">y</w:t>
      </w:r>
      <w:r>
        <w:t xml:space="preserve"> </w:t>
      </w:r>
      <w:r>
        <w:rPr>
          <w:rStyle w:val="VerbatimChar"/>
        </w:rPr>
        <w:t xml:space="preserve">UDS</w:t>
      </w:r>
      <w:r>
        <w:t xml:space="preserve">, y el hecho de que las conversiones conservadoras explotan en magnitud absurda cuando se forza una equivalencia directa a huecos.</w:t>
      </w:r>
    </w:p>
    <w:bookmarkEnd w:id="28"/>
    <w:bookmarkStart w:id="29" w:name="consecuencia-operativa"/>
    <w:p>
      <w:pPr>
        <w:pStyle w:val="Heading3"/>
      </w:pPr>
      <w:r>
        <w:t xml:space="preserve">Consecuencia operativa</w:t>
      </w:r>
    </w:p>
    <w:p>
      <w:pPr>
        <w:pStyle w:val="FirstParagraph"/>
      </w:pPr>
      <w:r>
        <w:t xml:space="preserve">El stock externo</w:t>
      </w:r>
      <w:r>
        <w:t xml:space="preserve"> </w:t>
      </w:r>
      <w:r>
        <w:rPr>
          <w:b/>
          <w:bCs/>
        </w:rPr>
        <w:t xml:space="preserve">debe entrar en el dimensionamiento</w:t>
      </w:r>
      <w:r>
        <w:t xml:space="preserve">, pero</w:t>
      </w:r>
      <w:r>
        <w:t xml:space="preserve"> </w:t>
      </w:r>
      <w:r>
        <w:rPr>
          <w:b/>
          <w:bCs/>
        </w:rPr>
        <w:t xml:space="preserve">no debe entrar todavía como número cerrado de huecos por pasillo</w:t>
      </w:r>
      <w:r>
        <w:t xml:space="preserve">. La forma correcta es esta:</w:t>
      </w:r>
    </w:p>
    <w:p>
      <w:pPr>
        <w:pStyle w:val="Compact"/>
        <w:numPr>
          <w:ilvl w:val="0"/>
          <w:numId w:val="1009"/>
        </w:numPr>
      </w:pPr>
      <w:r>
        <w:rPr>
          <w:b/>
          <w:bCs/>
        </w:rPr>
        <w:t xml:space="preserve">Capa A</w:t>
      </w:r>
      <w:r>
        <w:t xml:space="preserve">: artículo + propietario con match real a fotostock actual.</w:t>
      </w:r>
    </w:p>
    <w:p>
      <w:pPr>
        <w:pStyle w:val="Compact"/>
        <w:numPr>
          <w:ilvl w:val="0"/>
          <w:numId w:val="1009"/>
        </w:numPr>
      </w:pPr>
      <w:r>
        <w:rPr>
          <w:b/>
          <w:bCs/>
        </w:rPr>
        <w:t xml:space="preserve">Capa B</w:t>
      </w:r>
      <w:r>
        <w:t xml:space="preserve">: artículo con match por referencia aunque cambie propietario.</w:t>
      </w:r>
    </w:p>
    <w:p>
      <w:pPr>
        <w:pStyle w:val="Compact"/>
        <w:numPr>
          <w:ilvl w:val="0"/>
          <w:numId w:val="1009"/>
        </w:numPr>
      </w:pPr>
      <w:r>
        <w:rPr>
          <w:b/>
          <w:bCs/>
        </w:rPr>
        <w:t xml:space="preserve">Capa C</w:t>
      </w:r>
      <w:r>
        <w:t xml:space="preserve">: inferencia por dimensiones y tipología, siempre marcada como provisional.</w:t>
      </w:r>
    </w:p>
    <w:p>
      <w:pPr>
        <w:pStyle w:val="FirstParagraph"/>
      </w:pPr>
      <w:r>
        <w:t xml:space="preserve">Hoy, el bloqueo está en que la</w:t>
      </w:r>
      <w:r>
        <w:t xml:space="preserve"> </w:t>
      </w:r>
      <w:r>
        <w:rPr>
          <w:b/>
          <w:bCs/>
        </w:rPr>
        <w:t xml:space="preserve">Capa C pesa demasiado</w:t>
      </w:r>
      <w:r>
        <w:t xml:space="preserve"> </w:t>
      </w:r>
      <w:r>
        <w:t xml:space="preserve">y contamina el total. Por eso, la cifra final combinada con stock externo no es todavía decisión-grade.</w:t>
      </w:r>
    </w:p>
    <w:bookmarkEnd w:id="29"/>
    <w:bookmarkEnd w:id="30"/>
    <w:bookmarkStart w:id="31" w:name="reglas-de-cálculo-aplicadas"/>
    <w:p>
      <w:pPr>
        <w:pStyle w:val="Heading2"/>
      </w:pPr>
      <w:r>
        <w:t xml:space="preserve">Reglas de cálculo aplicadas</w:t>
      </w:r>
    </w:p>
    <w:p>
      <w:pPr>
        <w:pStyle w:val="FirstParagraph"/>
      </w:pPr>
      <w:r>
        <w:t xml:space="preserve">He aplicado estas reglas de forma estricta:</w:t>
      </w:r>
    </w:p>
    <w:p>
      <w:pPr>
        <w:pStyle w:val="Compact"/>
        <w:numPr>
          <w:ilvl w:val="0"/>
          <w:numId w:val="1010"/>
        </w:numPr>
      </w:pPr>
      <w:r>
        <w:t xml:space="preserve">Almacén origen, stock externo y almacén destino se tratan como tres universos distintos.</w:t>
      </w:r>
    </w:p>
    <w:p>
      <w:pPr>
        <w:pStyle w:val="Compact"/>
        <w:numPr>
          <w:ilvl w:val="0"/>
          <w:numId w:val="1010"/>
        </w:numPr>
      </w:pPr>
      <w:r>
        <w:t xml:space="preserve">El origen se analiza con histórico y foto actual; el destino se dimensiona con capacidad física nueva; el stock externo se incorpora solo tras conversión a equivalentes válidos.</w:t>
      </w:r>
    </w:p>
    <w:p>
      <w:pPr>
        <w:pStyle w:val="Compact"/>
        <w:numPr>
          <w:ilvl w:val="0"/>
          <w:numId w:val="1010"/>
        </w:numPr>
      </w:pPr>
      <w:r>
        <w:t xml:space="preserve">La unidad de decisión principal para layout es el</w:t>
      </w:r>
      <w:r>
        <w:t xml:space="preserve"> </w:t>
      </w:r>
      <w:r>
        <w:rPr>
          <w:b/>
          <w:bCs/>
        </w:rPr>
        <w:t xml:space="preserve">propietario</w:t>
      </w:r>
      <w:r>
        <w:t xml:space="preserve">, no el SKU.</w:t>
      </w:r>
    </w:p>
    <w:p>
      <w:pPr>
        <w:pStyle w:val="Compact"/>
        <w:numPr>
          <w:ilvl w:val="0"/>
          <w:numId w:val="1010"/>
        </w:numPr>
      </w:pPr>
      <w:r>
        <w:t xml:space="preserve">El market basket se usa como apoyo interno de proximidad, nunca para romper agrupación por propietario salvo beneficio muy claro.</w:t>
      </w:r>
      <w:r>
        <w:t xml:space="preserve"> </w:t>
      </w:r>
      <w:hyperlink r:id="rId21">
        <w:r>
          <w:rPr>
            <w:rStyle w:val="Hyperlink"/>
          </w:rPr>
          <w:t xml:space="preserve">[1]</w:t>
        </w:r>
      </w:hyperlink>
    </w:p>
    <w:p>
      <w:pPr>
        <w:pStyle w:val="Compact"/>
        <w:numPr>
          <w:ilvl w:val="0"/>
          <w:numId w:val="1010"/>
        </w:numPr>
      </w:pPr>
      <w:r>
        <w:rPr>
          <w:rStyle w:val="VerbatimChar"/>
        </w:rPr>
        <w:t xml:space="preserve">EU = 1,0</w:t>
      </w:r>
      <w:r>
        <w:t xml:space="preserve">,</w:t>
      </w:r>
      <w:r>
        <w:t xml:space="preserve"> </w:t>
      </w:r>
      <w:r>
        <w:rPr>
          <w:rStyle w:val="VerbatimChar"/>
        </w:rPr>
        <w:t xml:space="preserve">AM = 1,5 EU</w:t>
      </w:r>
      <w:r>
        <w:t xml:space="preserve">,</w:t>
      </w:r>
      <w:r>
        <w:t xml:space="preserve"> </w:t>
      </w:r>
      <w:r>
        <w:rPr>
          <w:rStyle w:val="VerbatimChar"/>
        </w:rPr>
        <w:t xml:space="preserve">TR = 3,0 EU</w:t>
      </w:r>
      <w:r>
        <w:t xml:space="preserve">.</w:t>
      </w:r>
    </w:p>
    <w:p>
      <w:pPr>
        <w:pStyle w:val="Compact"/>
        <w:numPr>
          <w:ilvl w:val="0"/>
          <w:numId w:val="1010"/>
        </w:numPr>
      </w:pPr>
      <w:r>
        <w:t xml:space="preserve">Las tipologías especiales se separan de la capacidad estándar.</w:t>
      </w:r>
    </w:p>
    <w:p>
      <w:pPr>
        <w:pStyle w:val="Compact"/>
        <w:numPr>
          <w:ilvl w:val="0"/>
          <w:numId w:val="1010"/>
        </w:numPr>
      </w:pPr>
      <w:r>
        <w:t xml:space="preserve">Todo lo hoy ubicado en tramos especiales del layout se considera</w:t>
      </w:r>
      <w:r>
        <w:t xml:space="preserve"> </w:t>
      </w:r>
      <w:r>
        <w:rPr>
          <w:b/>
          <w:bCs/>
        </w:rPr>
        <w:t xml:space="preserve">suelo obligatorio</w:t>
      </w:r>
      <w:r>
        <w:t xml:space="preserve">. fileciteturn2file0</w:t>
      </w:r>
    </w:p>
    <w:p>
      <w:pPr>
        <w:pStyle w:val="Compact"/>
        <w:numPr>
          <w:ilvl w:val="0"/>
          <w:numId w:val="1010"/>
        </w:numPr>
      </w:pPr>
      <w:r>
        <w:t xml:space="preserve">La penalización de altura por sobrealto se aplica</w:t>
      </w:r>
      <w:r>
        <w:t xml:space="preserve"> </w:t>
      </w:r>
      <w:r>
        <w:rPr>
          <w:b/>
          <w:bCs/>
        </w:rPr>
        <w:t xml:space="preserve">solo a la altura 10</w:t>
      </w:r>
      <w:r>
        <w:t xml:space="preserve">. fileciteturn2file0</w:t>
      </w:r>
    </w:p>
    <w:p>
      <w:pPr>
        <w:pStyle w:val="FirstParagraph"/>
      </w:pPr>
      <w:r>
        <w:t xml:space="preserve">Para el origen, el filtro aplicado ha sido exactamente el que pediste:</w:t>
      </w:r>
    </w:p>
    <w:p>
      <w:pPr>
        <w:pStyle w:val="Compact"/>
        <w:numPr>
          <w:ilvl w:val="0"/>
          <w:numId w:val="1011"/>
        </w:numPr>
      </w:pPr>
      <w:r>
        <w:t xml:space="preserve">propietarios</w:t>
      </w:r>
      <w:r>
        <w:t xml:space="preserve"> </w:t>
      </w:r>
      <w:r>
        <w:rPr>
          <w:rStyle w:val="VerbatimChar"/>
        </w:rPr>
        <w:t xml:space="preserve">&lt;= 100</w:t>
      </w:r>
      <w:r>
        <w:t xml:space="preserve">,</w:t>
      </w:r>
    </w:p>
    <w:p>
      <w:pPr>
        <w:pStyle w:val="Compact"/>
        <w:numPr>
          <w:ilvl w:val="0"/>
          <w:numId w:val="1011"/>
        </w:numPr>
      </w:pPr>
      <w:r>
        <w:t xml:space="preserve">pasillos</w:t>
      </w:r>
      <w:r>
        <w:t xml:space="preserve"> </w:t>
      </w:r>
      <w:r>
        <w:rPr>
          <w:rStyle w:val="VerbatimChar"/>
        </w:rPr>
        <w:t xml:space="preserve">6</w:t>
      </w:r>
      <w:r>
        <w:t xml:space="preserve"> </w:t>
      </w:r>
      <w:r>
        <w:t xml:space="preserve">a</w:t>
      </w:r>
      <w:r>
        <w:t xml:space="preserve"> </w:t>
      </w:r>
      <w:r>
        <w:rPr>
          <w:rStyle w:val="VerbatimChar"/>
        </w:rPr>
        <w:t xml:space="preserve">21</w:t>
      </w:r>
      <w:r>
        <w:t xml:space="preserve">,</w:t>
      </w:r>
    </w:p>
    <w:p>
      <w:pPr>
        <w:pStyle w:val="Compact"/>
        <w:numPr>
          <w:ilvl w:val="0"/>
          <w:numId w:val="1011"/>
        </w:numPr>
      </w:pPr>
      <w:r>
        <w:t xml:space="preserve">exclusión de</w:t>
      </w:r>
      <w:r>
        <w:t xml:space="preserve"> </w:t>
      </w:r>
      <w:r>
        <w:rPr>
          <w:rStyle w:val="VerbatimChar"/>
        </w:rPr>
        <w:t xml:space="preserve">17</w:t>
      </w:r>
      <w:r>
        <w:t xml:space="preserve">,</w:t>
      </w:r>
    </w:p>
    <w:p>
      <w:pPr>
        <w:pStyle w:val="Compact"/>
        <w:numPr>
          <w:ilvl w:val="0"/>
          <w:numId w:val="1011"/>
        </w:numPr>
      </w:pPr>
      <w:r>
        <w:t xml:space="preserve">exclusión de</w:t>
      </w:r>
      <w:r>
        <w:t xml:space="preserve"> </w:t>
      </w:r>
      <w:r>
        <w:rPr>
          <w:rStyle w:val="VerbatimChar"/>
        </w:rPr>
        <w:t xml:space="preserve">21</w:t>
      </w:r>
      <w:r>
        <w:t xml:space="preserve"> </w:t>
      </w:r>
      <w:r>
        <w:t xml:space="preserve">del análisis principal,</w:t>
      </w:r>
    </w:p>
    <w:p>
      <w:pPr>
        <w:pStyle w:val="Compact"/>
        <w:numPr>
          <w:ilvl w:val="0"/>
          <w:numId w:val="1011"/>
        </w:numPr>
      </w:pPr>
      <w:r>
        <w:t xml:space="preserve">exclusión de ubicaciones</w:t>
      </w:r>
      <w:r>
        <w:t xml:space="preserve"> </w:t>
      </w:r>
      <w:r>
        <w:rPr>
          <w:rStyle w:val="VerbatimChar"/>
        </w:rPr>
        <w:t xml:space="preserve">200-xxx-xx</w:t>
      </w:r>
      <w:r>
        <w:t xml:space="preserve">.</w:t>
      </w:r>
    </w:p>
    <w:bookmarkEnd w:id="31"/>
    <w:bookmarkStart w:id="32" w:name="Xdc53584726b91f45237329e336ecf8feb0ed5b4"/>
    <w:p>
      <w:pPr>
        <w:pStyle w:val="Heading2"/>
      </w:pPr>
      <w:r>
        <w:t xml:space="preserve">Capacidad del almacén destino por pasillo</w:t>
      </w:r>
    </w:p>
    <w:p>
      <w:pPr>
        <w:pStyle w:val="FirstParagraph"/>
      </w:pPr>
      <w:r>
        <w:t xml:space="preserve">La capacidad estructural de diseño del destino es esta:</w:t>
      </w:r>
    </w:p>
    <w:p>
      <w:pPr>
        <w:pStyle w:val="Compact"/>
        <w:numPr>
          <w:ilvl w:val="0"/>
          <w:numId w:val="1012"/>
        </w:numPr>
      </w:pPr>
      <w:r>
        <w:rPr>
          <w:b/>
          <w:bCs/>
        </w:rPr>
        <w:t xml:space="preserve">12 pasillos</w:t>
      </w:r>
    </w:p>
    <w:p>
      <w:pPr>
        <w:pStyle w:val="Compact"/>
        <w:numPr>
          <w:ilvl w:val="0"/>
          <w:numId w:val="1012"/>
        </w:numPr>
      </w:pPr>
      <w:r>
        <w:rPr>
          <w:b/>
          <w:bCs/>
        </w:rPr>
        <w:t xml:space="preserve">540 huecos equivalentes por pasillo</w:t>
      </w:r>
    </w:p>
    <w:p>
      <w:pPr>
        <w:pStyle w:val="Compact"/>
        <w:numPr>
          <w:ilvl w:val="0"/>
          <w:numId w:val="1012"/>
        </w:numPr>
      </w:pPr>
      <w:r>
        <w:rPr>
          <w:b/>
          <w:bCs/>
        </w:rPr>
        <w:t xml:space="preserve">6.480 huecos equivalentes máximos</w:t>
      </w:r>
    </w:p>
    <w:p>
      <w:pPr>
        <w:pStyle w:val="Compact"/>
        <w:numPr>
          <w:ilvl w:val="0"/>
          <w:numId w:val="1012"/>
        </w:numPr>
      </w:pPr>
      <w:r>
        <w:rPr>
          <w:b/>
          <w:bCs/>
        </w:rPr>
        <w:t xml:space="preserve">108 posiciones útiles por pasillo</w:t>
      </w:r>
      <w:r>
        <w:t xml:space="preserve"> </w:t>
      </w:r>
      <w:r>
        <w:t xml:space="preserve">con 5 alturas contables:</w:t>
      </w:r>
      <w:r>
        <w:t xml:space="preserve"> </w:t>
      </w:r>
      <w:r>
        <w:rPr>
          <w:rStyle w:val="VerbatimChar"/>
        </w:rPr>
        <w:t xml:space="preserve">00</w:t>
      </w:r>
      <w:r>
        <w:t xml:space="preserve">,</w:t>
      </w:r>
      <w:r>
        <w:t xml:space="preserve"> </w:t>
      </w:r>
      <w:r>
        <w:rPr>
          <w:rStyle w:val="VerbatimChar"/>
        </w:rPr>
        <w:t xml:space="preserve">10</w:t>
      </w:r>
      <w:r>
        <w:t xml:space="preserve">,</w:t>
      </w:r>
      <w:r>
        <w:t xml:space="preserve"> </w:t>
      </w:r>
      <w:r>
        <w:rPr>
          <w:rStyle w:val="VerbatimChar"/>
        </w:rPr>
        <w:t xml:space="preserve">20</w:t>
      </w:r>
      <w:r>
        <w:t xml:space="preserve">,</w:t>
      </w:r>
      <w:r>
        <w:t xml:space="preserve"> </w:t>
      </w:r>
      <w:r>
        <w:rPr>
          <w:rStyle w:val="VerbatimChar"/>
        </w:rPr>
        <w:t xml:space="preserve">30</w:t>
      </w:r>
      <w:r>
        <w:t xml:space="preserve">,</w:t>
      </w:r>
      <w:r>
        <w:t xml:space="preserve"> </w:t>
      </w:r>
      <w:r>
        <w:rPr>
          <w:rStyle w:val="VerbatimChar"/>
        </w:rPr>
        <w:t xml:space="preserve">40</w:t>
      </w:r>
      <w:r>
        <w:t xml:space="preserve"> </w:t>
      </w:r>
      <w:r>
        <w:t xml:space="preserve">fileciteturn3file3</w:t>
      </w:r>
    </w:p>
    <w:p>
      <w:pPr>
        <w:pStyle w:val="FirstParagraph"/>
      </w:pPr>
      <w:r>
        <w:t xml:space="preserve">Eso da esta tabla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Pasillo destino</w:t>
            </w:r>
          </w:p>
        </w:tc>
        <w:tc>
          <w:tcPr/>
          <w:p>
            <w:pPr>
              <w:pStyle w:val="Compact"/>
              <w:jc w:val="right"/>
            </w:pPr>
            <w:r>
              <w:t xml:space="preserve">Capacidad teórica</w:t>
            </w:r>
          </w:p>
        </w:tc>
      </w:tr>
      <w:tr>
        <w:tc>
          <w:tcPr/>
          <w:p>
            <w:pPr>
              <w:pStyle w:val="Compact"/>
            </w:pPr>
            <w:r>
              <w:t xml:space="preserve">Pasillo 1</w:t>
            </w:r>
          </w:p>
        </w:tc>
        <w:tc>
          <w:tcPr/>
          <w:p>
            <w:pPr>
              <w:pStyle w:val="Compact"/>
              <w:jc w:val="right"/>
            </w:pPr>
            <w:r>
              <w:t xml:space="preserve">540</w:t>
            </w:r>
          </w:p>
        </w:tc>
      </w:tr>
      <w:tr>
        <w:tc>
          <w:tcPr/>
          <w:p>
            <w:pPr>
              <w:pStyle w:val="Compact"/>
            </w:pPr>
            <w:r>
              <w:t xml:space="preserve">Pasillo 2</w:t>
            </w:r>
          </w:p>
        </w:tc>
        <w:tc>
          <w:tcPr/>
          <w:p>
            <w:pPr>
              <w:pStyle w:val="Compact"/>
              <w:jc w:val="right"/>
            </w:pPr>
            <w:r>
              <w:t xml:space="preserve">540</w:t>
            </w:r>
          </w:p>
        </w:tc>
      </w:tr>
      <w:tr>
        <w:tc>
          <w:tcPr/>
          <w:p>
            <w:pPr>
              <w:pStyle w:val="Compact"/>
            </w:pPr>
            <w:r>
              <w:t xml:space="preserve">Pasillo 3</w:t>
            </w:r>
          </w:p>
        </w:tc>
        <w:tc>
          <w:tcPr/>
          <w:p>
            <w:pPr>
              <w:pStyle w:val="Compact"/>
              <w:jc w:val="right"/>
            </w:pPr>
            <w:r>
              <w:t xml:space="preserve">540</w:t>
            </w:r>
          </w:p>
        </w:tc>
      </w:tr>
      <w:tr>
        <w:tc>
          <w:tcPr/>
          <w:p>
            <w:pPr>
              <w:pStyle w:val="Compact"/>
            </w:pPr>
            <w:r>
              <w:t xml:space="preserve">Pasillo 4</w:t>
            </w:r>
          </w:p>
        </w:tc>
        <w:tc>
          <w:tcPr/>
          <w:p>
            <w:pPr>
              <w:pStyle w:val="Compact"/>
              <w:jc w:val="right"/>
            </w:pPr>
            <w:r>
              <w:t xml:space="preserve">540</w:t>
            </w:r>
          </w:p>
        </w:tc>
      </w:tr>
      <w:tr>
        <w:tc>
          <w:tcPr/>
          <w:p>
            <w:pPr>
              <w:pStyle w:val="Compact"/>
            </w:pPr>
            <w:r>
              <w:t xml:space="preserve">Pasillo 5</w:t>
            </w:r>
          </w:p>
        </w:tc>
        <w:tc>
          <w:tcPr/>
          <w:p>
            <w:pPr>
              <w:pStyle w:val="Compact"/>
              <w:jc w:val="right"/>
            </w:pPr>
            <w:r>
              <w:t xml:space="preserve">540</w:t>
            </w:r>
          </w:p>
        </w:tc>
      </w:tr>
      <w:tr>
        <w:tc>
          <w:tcPr/>
          <w:p>
            <w:pPr>
              <w:pStyle w:val="Compact"/>
            </w:pPr>
            <w:r>
              <w:t xml:space="preserve">Pasillo 6</w:t>
            </w:r>
          </w:p>
        </w:tc>
        <w:tc>
          <w:tcPr/>
          <w:p>
            <w:pPr>
              <w:pStyle w:val="Compact"/>
              <w:jc w:val="right"/>
            </w:pPr>
            <w:r>
              <w:t xml:space="preserve">540</w:t>
            </w:r>
          </w:p>
        </w:tc>
      </w:tr>
      <w:tr>
        <w:tc>
          <w:tcPr/>
          <w:p>
            <w:pPr>
              <w:pStyle w:val="Compact"/>
            </w:pPr>
            <w:r>
              <w:t xml:space="preserve">Pasillo 7</w:t>
            </w:r>
          </w:p>
        </w:tc>
        <w:tc>
          <w:tcPr/>
          <w:p>
            <w:pPr>
              <w:pStyle w:val="Compact"/>
              <w:jc w:val="right"/>
            </w:pPr>
            <w:r>
              <w:t xml:space="preserve">540</w:t>
            </w:r>
          </w:p>
        </w:tc>
      </w:tr>
      <w:tr>
        <w:tc>
          <w:tcPr/>
          <w:p>
            <w:pPr>
              <w:pStyle w:val="Compact"/>
            </w:pPr>
            <w:r>
              <w:t xml:space="preserve">Pasillo 8</w:t>
            </w:r>
          </w:p>
        </w:tc>
        <w:tc>
          <w:tcPr/>
          <w:p>
            <w:pPr>
              <w:pStyle w:val="Compact"/>
              <w:jc w:val="right"/>
            </w:pPr>
            <w:r>
              <w:t xml:space="preserve">540</w:t>
            </w:r>
          </w:p>
        </w:tc>
      </w:tr>
      <w:tr>
        <w:tc>
          <w:tcPr/>
          <w:p>
            <w:pPr>
              <w:pStyle w:val="Compact"/>
            </w:pPr>
            <w:r>
              <w:t xml:space="preserve">Pasillo 9</w:t>
            </w:r>
          </w:p>
        </w:tc>
        <w:tc>
          <w:tcPr/>
          <w:p>
            <w:pPr>
              <w:pStyle w:val="Compact"/>
              <w:jc w:val="right"/>
            </w:pPr>
            <w:r>
              <w:t xml:space="preserve">540</w:t>
            </w:r>
          </w:p>
        </w:tc>
      </w:tr>
      <w:tr>
        <w:tc>
          <w:tcPr/>
          <w:p>
            <w:pPr>
              <w:pStyle w:val="Compact"/>
            </w:pPr>
            <w:r>
              <w:t xml:space="preserve">Pasillo 10</w:t>
            </w:r>
          </w:p>
        </w:tc>
        <w:tc>
          <w:tcPr/>
          <w:p>
            <w:pPr>
              <w:pStyle w:val="Compact"/>
              <w:jc w:val="right"/>
            </w:pPr>
            <w:r>
              <w:t xml:space="preserve">540</w:t>
            </w:r>
          </w:p>
        </w:tc>
      </w:tr>
      <w:tr>
        <w:tc>
          <w:tcPr/>
          <w:p>
            <w:pPr>
              <w:pStyle w:val="Compact"/>
            </w:pPr>
            <w:r>
              <w:t xml:space="preserve">Pasillo 11</w:t>
            </w:r>
          </w:p>
        </w:tc>
        <w:tc>
          <w:tcPr/>
          <w:p>
            <w:pPr>
              <w:pStyle w:val="Compact"/>
              <w:jc w:val="right"/>
            </w:pPr>
            <w:r>
              <w:t xml:space="preserve">540</w:t>
            </w:r>
          </w:p>
        </w:tc>
      </w:tr>
      <w:tr>
        <w:tc>
          <w:tcPr/>
          <w:p>
            <w:pPr>
              <w:pStyle w:val="Compact"/>
            </w:pPr>
            <w:r>
              <w:t xml:space="preserve">Pasillo 12</w:t>
            </w:r>
          </w:p>
        </w:tc>
        <w:tc>
          <w:tcPr/>
          <w:p>
            <w:pPr>
              <w:pStyle w:val="Compact"/>
              <w:jc w:val="right"/>
            </w:pPr>
            <w:r>
              <w:t xml:space="preserve">540</w:t>
            </w:r>
          </w:p>
        </w:tc>
      </w:tr>
      <w:tr>
        <w:tc>
          <w:tcPr/>
          <w:p>
            <w:pPr>
              <w:pStyle w:val="Compact"/>
            </w:pPr>
            <w:r>
              <w:rPr>
                <w:b/>
                <w:bCs/>
              </w:rPr>
              <w:t xml:space="preserve">Total</w:t>
            </w:r>
          </w:p>
        </w:tc>
        <w:tc>
          <w:tcPr/>
          <w:p>
            <w:pPr>
              <w:pStyle w:val="Compact"/>
              <w:jc w:val="right"/>
            </w:pPr>
            <w:r>
              <w:rPr>
                <w:b/>
                <w:bCs/>
              </w:rPr>
              <w:t xml:space="preserve">6.480</w:t>
            </w:r>
          </w:p>
        </w:tc>
      </w:tr>
    </w:tbl>
    <w:p>
      <w:pPr>
        <w:pStyle w:val="BodyText"/>
      </w:pPr>
      <w:r>
        <w:t xml:space="preserve">Pero esa no es la capacidad útil real una vez metas suelo especial. La capacidad útil estándar se reduce cuando conviertes suelo 2,50 m o 3,00 m, porque pierdes estándar en</w:t>
      </w:r>
      <w:r>
        <w:t xml:space="preserve"> </w:t>
      </w:r>
      <w:r>
        <w:rPr>
          <w:rStyle w:val="VerbatimChar"/>
        </w:rPr>
        <w:t xml:space="preserve">10</w:t>
      </w:r>
      <w:r>
        <w:t xml:space="preserve">. Con el</w:t>
      </w:r>
      <w:r>
        <w:t xml:space="preserve"> </w:t>
      </w:r>
      <w:r>
        <w:rPr>
          <w:b/>
          <w:bCs/>
        </w:rPr>
        <w:t xml:space="preserve">mínimo visible hoy</w:t>
      </w:r>
      <w:r>
        <w:t xml:space="preserve"> </w:t>
      </w:r>
      <w:r>
        <w:t xml:space="preserve">en stock propio, la penalización mínima observada sobre</w:t>
      </w:r>
      <w:r>
        <w:t xml:space="preserve"> </w:t>
      </w:r>
      <w:r>
        <w:rPr>
          <w:rStyle w:val="VerbatimChar"/>
        </w:rPr>
        <w:t xml:space="preserve">10</w:t>
      </w:r>
      <w:r>
        <w:t xml:space="preserve"> </w:t>
      </w:r>
      <w:r>
        <w:t xml:space="preserve">es de</w:t>
      </w:r>
      <w:r>
        <w:t xml:space="preserve"> </w:t>
      </w:r>
      <w:r>
        <w:rPr>
          <w:b/>
          <w:bCs/>
        </w:rPr>
        <w:t xml:space="preserve">372 posiciones</w:t>
      </w:r>
      <w:r>
        <w:t xml:space="preserve">. Eso no significa perder 372 huecos totales sin más; significa que</w:t>
      </w:r>
      <w:r>
        <w:t xml:space="preserve"> </w:t>
      </w:r>
      <w:r>
        <w:rPr>
          <w:b/>
          <w:bCs/>
        </w:rPr>
        <w:t xml:space="preserve">372 posiciones de la altura 10 dejan de ser estándar</w:t>
      </w:r>
      <w:r>
        <w:t xml:space="preserve"> </w:t>
      </w:r>
      <w:r>
        <w:t xml:space="preserve">y deben modelarse como modificadas o no disponibles para palet estándar.</w:t>
      </w:r>
    </w:p>
    <w:bookmarkEnd w:id="32"/>
    <w:bookmarkStart w:id="35" w:name="X55a089197ceeeb75aaf184ea918c9f906985193"/>
    <w:p>
      <w:pPr>
        <w:pStyle w:val="Heading2"/>
      </w:pPr>
      <w:r>
        <w:t xml:space="preserve">Demanda por propietario y tipología de hueco</w:t>
      </w:r>
    </w:p>
    <w:p>
      <w:pPr>
        <w:pStyle w:val="FirstParagraph"/>
      </w:pPr>
      <w:r>
        <w:t xml:space="preserve">Aquí separo con dureza lo</w:t>
      </w:r>
      <w:r>
        <w:t xml:space="preserve"> </w:t>
      </w:r>
      <w:r>
        <w:rPr>
          <w:b/>
          <w:bCs/>
        </w:rPr>
        <w:t xml:space="preserve">robusto</w:t>
      </w:r>
      <w:r>
        <w:t xml:space="preserve"> </w:t>
      </w:r>
      <w:r>
        <w:t xml:space="preserve">de lo</w:t>
      </w:r>
      <w:r>
        <w:t xml:space="preserve"> </w:t>
      </w:r>
      <w:r>
        <w:rPr>
          <w:b/>
          <w:bCs/>
        </w:rPr>
        <w:t xml:space="preserve">todavía no cerrable</w:t>
      </w:r>
      <w:r>
        <w:t xml:space="preserve">.</w:t>
      </w:r>
    </w:p>
    <w:bookmarkStart w:id="33" w:name="lo-robusto-hoy"/>
    <w:p>
      <w:pPr>
        <w:pStyle w:val="Heading3"/>
      </w:pPr>
      <w:r>
        <w:t xml:space="preserve">Lo robusto hoy</w:t>
      </w:r>
    </w:p>
    <w:p>
      <w:pPr>
        <w:pStyle w:val="FirstParagraph"/>
      </w:pPr>
      <w:r>
        <w:t xml:space="preserve">El stock actual filtrado del origen contiene</w:t>
      </w:r>
      <w:r>
        <w:t xml:space="preserve"> </w:t>
      </w:r>
      <w:r>
        <w:rPr>
          <w:b/>
          <w:bCs/>
        </w:rPr>
        <w:t xml:space="preserve">6.076 registros ocupados</w:t>
      </w:r>
      <w:r>
        <w:t xml:space="preserve"> </w:t>
      </w:r>
      <w:r>
        <w:t xml:space="preserve">y</w:t>
      </w:r>
      <w:r>
        <w:t xml:space="preserve"> </w:t>
      </w:r>
      <w:r>
        <w:rPr>
          <w:b/>
          <w:bCs/>
        </w:rPr>
        <w:t xml:space="preserve">34 propietarios</w:t>
      </w:r>
      <w:r>
        <w:t xml:space="preserve"> </w:t>
      </w:r>
      <w:r>
        <w:t xml:space="preserve">visibles tras aplicar el filtro operativo. Ese dato es útil como lectura de ocupación observada, pero</w:t>
      </w:r>
      <w:r>
        <w:t xml:space="preserve"> </w:t>
      </w:r>
      <w:r>
        <w:rPr>
          <w:b/>
          <w:bCs/>
        </w:rPr>
        <w:t xml:space="preserve">no debe mezclarse directamente con la capacidad 6.480 como si todo fueran palets equivalentes</w:t>
      </w:r>
      <w:r>
        <w:t xml:space="preserve">, porque dentro de esos 6.076 también hay baldas y subhuecos de pequeño formato.</w:t>
      </w:r>
    </w:p>
    <w:p>
      <w:pPr>
        <w:pStyle w:val="BodyText"/>
      </w:pPr>
      <w:r>
        <w:t xml:space="preserve">El bloque realmente sólido para infraestructuras es el mínimo visible de tipologías especiales: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Tipología</w:t>
            </w:r>
          </w:p>
        </w:tc>
        <w:tc>
          <w:tcPr/>
          <w:p>
            <w:pPr>
              <w:pStyle w:val="Compact"/>
              <w:jc w:val="right"/>
            </w:pPr>
            <w:r>
              <w:t xml:space="preserve">Posiciones visibles hoy</w:t>
            </w:r>
          </w:p>
        </w:tc>
        <w:tc>
          <w:tcPr/>
          <w:p>
            <w:pPr>
              <w:pStyle w:val="Compact"/>
              <w:jc w:val="right"/>
            </w:pPr>
            <w:r>
              <w:t xml:space="preserve">Módulos de 3 EU</w:t>
            </w:r>
          </w:p>
        </w:tc>
      </w:tr>
      <w:tr>
        <w:tc>
          <w:tcPr/>
          <w:p>
            <w:pPr>
              <w:pStyle w:val="Compact"/>
            </w:pPr>
            <w:r>
              <w:t xml:space="preserve">Suelo 2,50 m</w:t>
            </w:r>
          </w:p>
        </w:tc>
        <w:tc>
          <w:tcPr/>
          <w:p>
            <w:pPr>
              <w:pStyle w:val="Compact"/>
              <w:jc w:val="right"/>
            </w:pPr>
            <w:r>
              <w:t xml:space="preserve">252</w:t>
            </w:r>
          </w:p>
        </w:tc>
        <w:tc>
          <w:tcPr/>
          <w:p>
            <w:pPr>
              <w:pStyle w:val="Compact"/>
              <w:jc w:val="right"/>
            </w:pPr>
            <w:r>
              <w:t xml:space="preserve">84</w:t>
            </w:r>
          </w:p>
        </w:tc>
      </w:tr>
      <w:tr>
        <w:tc>
          <w:tcPr/>
          <w:p>
            <w:pPr>
              <w:pStyle w:val="Compact"/>
            </w:pPr>
            <w:r>
              <w:t xml:space="preserve">Suelo 3,00 m</w:t>
            </w:r>
          </w:p>
        </w:tc>
        <w:tc>
          <w:tcPr/>
          <w:p>
            <w:pPr>
              <w:pStyle w:val="Compact"/>
              <w:jc w:val="right"/>
            </w:pPr>
            <w:r>
              <w:t xml:space="preserve">120</w:t>
            </w:r>
          </w:p>
        </w:tc>
        <w:tc>
          <w:tcPr/>
          <w:p>
            <w:pPr>
              <w:pStyle w:val="Compact"/>
              <w:jc w:val="right"/>
            </w:pPr>
            <w:r>
              <w:t xml:space="preserve">40</w:t>
            </w:r>
          </w:p>
        </w:tc>
      </w:tr>
      <w:tr>
        <w:tc>
          <w:tcPr/>
          <w:p>
            <w:pPr>
              <w:pStyle w:val="Compact"/>
            </w:pPr>
            <w:r>
              <w:t xml:space="preserve">Suelo 1,26 + balda</w:t>
            </w:r>
          </w:p>
        </w:tc>
        <w:tc>
          <w:tcPr/>
          <w:p>
            <w:pPr>
              <w:pStyle w:val="Compact"/>
              <w:jc w:val="right"/>
            </w:pPr>
            <w:r>
              <w:t xml:space="preserve">101</w:t>
            </w:r>
          </w:p>
        </w:tc>
        <w:tc>
          <w:tcPr/>
          <w:p>
            <w:pPr>
              <w:pStyle w:val="Compact"/>
              <w:jc w:val="right"/>
            </w:pPr>
            <w:r>
              <w:t xml:space="preserve">34</w:t>
            </w:r>
          </w:p>
        </w:tc>
      </w:tr>
      <w:tr>
        <w:tc>
          <w:tcPr/>
          <w:p>
            <w:pPr>
              <w:pStyle w:val="Compact"/>
            </w:pPr>
            <w:r>
              <w:t xml:space="preserve">Balda 9 huecos</w:t>
            </w:r>
          </w:p>
        </w:tc>
        <w:tc>
          <w:tcPr/>
          <w:p>
            <w:pPr>
              <w:pStyle w:val="Compact"/>
              <w:jc w:val="right"/>
            </w:pPr>
            <w:r>
              <w:t xml:space="preserve">540 subhuecos</w:t>
            </w:r>
          </w:p>
        </w:tc>
        <w:tc>
          <w:tcPr/>
          <w:p>
            <w:pPr>
              <w:pStyle w:val="Compact"/>
              <w:jc w:val="right"/>
            </w:pPr>
            <w:r>
              <w:t xml:space="preserve">180 módulos aprox.</w:t>
            </w:r>
          </w:p>
        </w:tc>
      </w:tr>
    </w:tbl>
    <w:p>
      <w:pPr>
        <w:pStyle w:val="BodyText"/>
      </w:pPr>
      <w:r>
        <w:t xml:space="preserve">Esto te da un</w:t>
      </w:r>
      <w:r>
        <w:t xml:space="preserve"> </w:t>
      </w:r>
      <w:r>
        <w:rPr>
          <w:b/>
          <w:bCs/>
        </w:rPr>
        <w:t xml:space="preserve">mínimo de partida</w:t>
      </w:r>
      <w:r>
        <w:t xml:space="preserve"> </w:t>
      </w:r>
      <w:r>
        <w:t xml:space="preserve">para el destino aunque no hubieras añadido todavía el stock externo.</w:t>
      </w:r>
    </w:p>
    <w:bookmarkEnd w:id="33"/>
    <w:bookmarkStart w:id="34" w:name="lo-no-cerrable-todavía-con-seguridad"/>
    <w:p>
      <w:pPr>
        <w:pStyle w:val="Heading3"/>
      </w:pPr>
      <w:r>
        <w:t xml:space="preserve">Lo no cerrable todavía con seguridad</w:t>
      </w:r>
    </w:p>
    <w:p>
      <w:pPr>
        <w:pStyle w:val="FirstParagraph"/>
      </w:pPr>
      <w:r>
        <w:t xml:space="preserve">No puedo darte una tabla cerrada y fiable de “demanda final por propietario” que mezcle stock actual + stock externo en EU/AM/TR/suelos especiales porque el stock externo todavía no tiene equivalencia validada a posición real. Puedo darte la metodología correcta, y el warning operativo es muy claro:</w:t>
      </w:r>
      <w:r>
        <w:t xml:space="preserve"> </w:t>
      </w:r>
      <w:r>
        <w:rPr>
          <w:b/>
          <w:bCs/>
        </w:rPr>
        <w:t xml:space="preserve">si hoy cierras pasillos por propietario metiendo el stock externo a pelo, te llevas el layout a un error estructural</w:t>
      </w:r>
      <w:r>
        <w:t xml:space="preserve">.</w:t>
      </w:r>
    </w:p>
    <w:bookmarkEnd w:id="34"/>
    <w:bookmarkEnd w:id="35"/>
    <w:bookmarkStart w:id="36" w:name="X158314587a7e61a5ecf21709d86a483179296f4"/>
    <w:p>
      <w:pPr>
        <w:pStyle w:val="Heading2"/>
      </w:pPr>
      <w:r>
        <w:t xml:space="preserve">Impacto del stock externo por propietario</w:t>
      </w:r>
    </w:p>
    <w:p>
      <w:pPr>
        <w:pStyle w:val="FirstParagraph"/>
      </w:pPr>
      <w:r>
        <w:t xml:space="preserve">El impacto del stock externo es</w:t>
      </w:r>
      <w:r>
        <w:t xml:space="preserve"> </w:t>
      </w:r>
      <w:r>
        <w:rPr>
          <w:b/>
          <w:bCs/>
        </w:rPr>
        <w:t xml:space="preserve">material</w:t>
      </w:r>
      <w:r>
        <w:t xml:space="preserve">, pero hoy no es</w:t>
      </w:r>
      <w:r>
        <w:t xml:space="preserve"> </w:t>
      </w:r>
      <w:r>
        <w:rPr>
          <w:b/>
          <w:bCs/>
        </w:rPr>
        <w:t xml:space="preserve">numéricamente fiable</w:t>
      </w:r>
      <w:r>
        <w:t xml:space="preserve"> </w:t>
      </w:r>
      <w:r>
        <w:t xml:space="preserve">a nivel pasillo-propietario.</w:t>
      </w:r>
    </w:p>
    <w:p>
      <w:pPr>
        <w:pStyle w:val="BodyText"/>
      </w:pPr>
      <w:r>
        <w:t xml:space="preserve">Lo que sí queda claro es que este stock:</w:t>
      </w:r>
    </w:p>
    <w:p>
      <w:pPr>
        <w:pStyle w:val="Compact"/>
        <w:numPr>
          <w:ilvl w:val="0"/>
          <w:numId w:val="1013"/>
        </w:numPr>
      </w:pPr>
      <w:r>
        <w:t xml:space="preserve">no puede ignorarse,</w:t>
      </w:r>
    </w:p>
    <w:p>
      <w:pPr>
        <w:pStyle w:val="Compact"/>
        <w:numPr>
          <w:ilvl w:val="0"/>
          <w:numId w:val="1013"/>
        </w:numPr>
      </w:pPr>
      <w:r>
        <w:t xml:space="preserve">no está duplicado automáticamente con la fotostock actual,</w:t>
      </w:r>
    </w:p>
    <w:p>
      <w:pPr>
        <w:pStyle w:val="Compact"/>
        <w:numPr>
          <w:ilvl w:val="0"/>
          <w:numId w:val="1013"/>
        </w:numPr>
      </w:pPr>
      <w:r>
        <w:t xml:space="preserve">y debe sumarse evitando doble conteo solo en la</w:t>
      </w:r>
      <w:r>
        <w:t xml:space="preserve"> </w:t>
      </w:r>
      <w:r>
        <w:rPr>
          <w:b/>
          <w:bCs/>
        </w:rPr>
        <w:t xml:space="preserve">regla de conversión</w:t>
      </w:r>
      <w:r>
        <w:t xml:space="preserve">, no eliminando artículos compartidos entre ambos universos.</w:t>
      </w:r>
    </w:p>
    <w:p>
      <w:pPr>
        <w:pStyle w:val="FirstParagraph"/>
      </w:pPr>
      <w:r>
        <w:t xml:space="preserve">La manera correcta de evitar doble conteo no es quitar coincidencias artículo-propietario entre origen y externo. Es esta:</w:t>
      </w:r>
    </w:p>
    <w:p>
      <w:pPr>
        <w:pStyle w:val="Compact"/>
        <w:numPr>
          <w:ilvl w:val="0"/>
          <w:numId w:val="1014"/>
        </w:numPr>
      </w:pPr>
      <w:r>
        <w:t xml:space="preserve">el</w:t>
      </w:r>
      <w:r>
        <w:t xml:space="preserve"> </w:t>
      </w:r>
      <w:r>
        <w:rPr>
          <w:b/>
          <w:bCs/>
        </w:rPr>
        <w:t xml:space="preserve">volumen físico observado</w:t>
      </w:r>
      <w:r>
        <w:t xml:space="preserve"> </w:t>
      </w:r>
      <w:r>
        <w:t xml:space="preserve">sale del origen,</w:t>
      </w:r>
    </w:p>
    <w:p>
      <w:pPr>
        <w:pStyle w:val="Compact"/>
        <w:numPr>
          <w:ilvl w:val="0"/>
          <w:numId w:val="1014"/>
        </w:numPr>
      </w:pPr>
      <w:r>
        <w:t xml:space="preserve">el</w:t>
      </w:r>
      <w:r>
        <w:t xml:space="preserve"> </w:t>
      </w:r>
      <w:r>
        <w:rPr>
          <w:b/>
          <w:bCs/>
        </w:rPr>
        <w:t xml:space="preserve">volumen externo</w:t>
      </w:r>
      <w:r>
        <w:t xml:space="preserve"> </w:t>
      </w:r>
      <w:r>
        <w:t xml:space="preserve">sale del fichero externo,</w:t>
      </w:r>
    </w:p>
    <w:p>
      <w:pPr>
        <w:pStyle w:val="Compact"/>
        <w:numPr>
          <w:ilvl w:val="0"/>
          <w:numId w:val="1014"/>
        </w:numPr>
      </w:pPr>
      <w:r>
        <w:t xml:space="preserve">y el origen solo se usa como</w:t>
      </w:r>
      <w:r>
        <w:t xml:space="preserve"> </w:t>
      </w:r>
      <w:r>
        <w:rPr>
          <w:b/>
          <w:bCs/>
        </w:rPr>
        <w:t xml:space="preserve">factor de conversión</w:t>
      </w:r>
      <w:r>
        <w:t xml:space="preserve"> </w:t>
      </w:r>
      <w:r>
        <w:t xml:space="preserve">para estimar posiciones del externo cuando hay match A o B.</w:t>
      </w:r>
    </w:p>
    <w:p>
      <w:pPr>
        <w:pStyle w:val="FirstParagraph"/>
      </w:pPr>
      <w:r>
        <w:t xml:space="preserve">Eso evita contar dos veces las mismas unidades y, a la vez, permite usar el conocimiento real del almacén actual para convertir mejor el stock externo.</w:t>
      </w:r>
    </w:p>
    <w:p>
      <w:pPr>
        <w:pStyle w:val="BodyText"/>
      </w:pPr>
      <w:r>
        <w:t xml:space="preserve">Donde sí cambia de verdad la foto es en propietarios que hoy tienen stock visible moderado pero que concentran mucho externo no absorbido aún. Esos propietarios, una vez se cierre la granularidad, serán los que más se moverán en la asignación final de pasillos.</w:t>
      </w:r>
    </w:p>
    <w:bookmarkEnd w:id="36"/>
    <w:bookmarkStart w:id="37" w:name="ranking-operativo-de-propietarios"/>
    <w:p>
      <w:pPr>
        <w:pStyle w:val="Heading2"/>
      </w:pPr>
      <w:r>
        <w:t xml:space="preserve">Ranking operativo de propietarios</w:t>
      </w:r>
    </w:p>
    <w:p>
      <w:pPr>
        <w:pStyle w:val="FirstParagraph"/>
      </w:pPr>
      <w:r>
        <w:t xml:space="preserve">El ranking operativo debe construirse con tres pesos:</w:t>
      </w:r>
    </w:p>
    <w:p>
      <w:pPr>
        <w:pStyle w:val="Compact"/>
        <w:numPr>
          <w:ilvl w:val="0"/>
          <w:numId w:val="1015"/>
        </w:numPr>
      </w:pPr>
      <w:r>
        <w:t xml:space="preserve">salidas históricas,</w:t>
      </w:r>
    </w:p>
    <w:p>
      <w:pPr>
        <w:pStyle w:val="Compact"/>
        <w:numPr>
          <w:ilvl w:val="0"/>
          <w:numId w:val="1015"/>
        </w:numPr>
      </w:pPr>
      <w:r>
        <w:t xml:space="preserve">volumen histórico movido,</w:t>
      </w:r>
    </w:p>
    <w:p>
      <w:pPr>
        <w:pStyle w:val="Compact"/>
        <w:numPr>
          <w:ilvl w:val="0"/>
          <w:numId w:val="1015"/>
        </w:numPr>
      </w:pPr>
      <w:r>
        <w:t xml:space="preserve">necesidad de capacidad física.</w:t>
      </w:r>
    </w:p>
    <w:p>
      <w:pPr>
        <w:pStyle w:val="FirstParagraph"/>
      </w:pPr>
      <w:r>
        <w:t xml:space="preserve">Eso es coherente con tu priorización y con el propio planteamiento del repo</w:t>
      </w:r>
      <w:r>
        <w:t xml:space="preserve"> </w:t>
      </w:r>
      <w:r>
        <w:rPr>
          <w:rStyle w:val="VerbatimChar"/>
        </w:rPr>
        <w:t xml:space="preserve">market_basket</w:t>
      </w:r>
      <w:r>
        <w:t xml:space="preserve">, que trabaja con preparación real por</w:t>
      </w:r>
      <w:r>
        <w:t xml:space="preserve"> </w:t>
      </w:r>
      <w:r>
        <w:rPr>
          <w:rStyle w:val="VerbatimChar"/>
        </w:rPr>
        <w:t xml:space="preserve">Pedido externo + Propietario</w:t>
      </w:r>
      <w:r>
        <w:t xml:space="preserve">.</w:t>
      </w:r>
      <w:r>
        <w:t xml:space="preserve"> </w:t>
      </w:r>
      <w:hyperlink r:id="rId21">
        <w:r>
          <w:rPr>
            <w:rStyle w:val="Hyperlink"/>
          </w:rPr>
          <w:t xml:space="preserve">[1]</w:t>
        </w:r>
      </w:hyperlink>
    </w:p>
    <w:p>
      <w:pPr>
        <w:pStyle w:val="BodyText"/>
      </w:pPr>
      <w:r>
        <w:t xml:space="preserve">Mi recomendación de scoring para ordenar propietarios es esta:</w:t>
      </w:r>
    </w:p>
    <w:p>
      <w:pPr>
        <w:pStyle w:val="Compact"/>
        <w:numPr>
          <w:ilvl w:val="0"/>
          <w:numId w:val="1016"/>
        </w:numPr>
      </w:pPr>
      <w:r>
        <w:rPr>
          <w:b/>
          <w:bCs/>
        </w:rPr>
        <w:t xml:space="preserve">45% salidas</w:t>
      </w:r>
    </w:p>
    <w:p>
      <w:pPr>
        <w:pStyle w:val="Compact"/>
        <w:numPr>
          <w:ilvl w:val="0"/>
          <w:numId w:val="1016"/>
        </w:numPr>
      </w:pPr>
      <w:r>
        <w:rPr>
          <w:b/>
          <w:bCs/>
        </w:rPr>
        <w:t xml:space="preserve">20% volumen</w:t>
      </w:r>
    </w:p>
    <w:p>
      <w:pPr>
        <w:pStyle w:val="Compact"/>
        <w:numPr>
          <w:ilvl w:val="0"/>
          <w:numId w:val="1016"/>
        </w:numPr>
      </w:pPr>
      <w:r>
        <w:rPr>
          <w:b/>
          <w:bCs/>
        </w:rPr>
        <w:t xml:space="preserve">35% necesidad de capacidad</w:t>
      </w:r>
    </w:p>
    <w:p>
      <w:pPr>
        <w:pStyle w:val="FirstParagraph"/>
      </w:pPr>
      <w:r>
        <w:t xml:space="preserve">No metería más peso a market basket porque la operativa no es ecommerce puro y porque el picking se lanza por propietario. El basket sirve después, para ordenar zonas internas dentro del propietario.</w:t>
      </w:r>
    </w:p>
    <w:p>
      <w:pPr>
        <w:pStyle w:val="BodyText"/>
      </w:pPr>
      <w:r>
        <w:t xml:space="preserve">En ausencia de un ABC entregado ya cerrado y utilizable, el ABC operativo debe rehacerse con</w:t>
      </w:r>
      <w:r>
        <w:t xml:space="preserve"> </w:t>
      </w:r>
      <w:r>
        <w:rPr>
          <w:rStyle w:val="VerbatimChar"/>
        </w:rPr>
        <w:t xml:space="preserve">movimientos.xlsx</w:t>
      </w:r>
      <w:r>
        <w:t xml:space="preserve"> </w:t>
      </w:r>
      <w:r>
        <w:t xml:space="preserve">y validarse contra</w:t>
      </w:r>
      <w:r>
        <w:t xml:space="preserve"> </w:t>
      </w:r>
      <w:r>
        <w:rPr>
          <w:rStyle w:val="VerbatimChar"/>
        </w:rPr>
        <w:t xml:space="preserve">lineas_solicitudes_con_pedidos.xlsx</w:t>
      </w:r>
      <w:r>
        <w:t xml:space="preserve">. Ese ABC recalculado es el que debe decidir qué propietarios van a los pasillos rápidos 1–6 y cuáles a 7–12.</w:t>
      </w:r>
    </w:p>
    <w:bookmarkEnd w:id="37"/>
    <w:bookmarkStart w:id="42" w:name="X3bfa4f4759d3649dddc62e029d59bc14e7939b9"/>
    <w:p>
      <w:pPr>
        <w:pStyle w:val="Heading2"/>
      </w:pPr>
      <w:r>
        <w:t xml:space="preserve">Propuesta de asignación propietario-pasillo</w:t>
      </w:r>
    </w:p>
    <w:p>
      <w:pPr>
        <w:pStyle w:val="FirstParagraph"/>
      </w:pPr>
      <w:r>
        <w:t xml:space="preserve">No voy a disfrazar esto:</w:t>
      </w:r>
      <w:r>
        <w:t xml:space="preserve"> </w:t>
      </w:r>
      <w:r>
        <w:rPr>
          <w:b/>
          <w:bCs/>
        </w:rPr>
        <w:t xml:space="preserve">sin cerrar la equivalencia del stock externo, no es honesto entregar una tabla final de propietario-pasillo como si ya estuviera “cerrada”</w:t>
      </w:r>
      <w:r>
        <w:t xml:space="preserve">.</w:t>
      </w:r>
    </w:p>
    <w:p>
      <w:pPr>
        <w:pStyle w:val="BodyText"/>
      </w:pPr>
      <w:r>
        <w:t xml:space="preserve">Sí te dejo la</w:t>
      </w:r>
      <w:r>
        <w:t xml:space="preserve"> </w:t>
      </w:r>
      <w:r>
        <w:rPr>
          <w:b/>
          <w:bCs/>
        </w:rPr>
        <w:t xml:space="preserve">propuesta operativa correcta</w:t>
      </w:r>
      <w:r>
        <w:t xml:space="preserve"> </w:t>
      </w:r>
      <w:r>
        <w:t xml:space="preserve">para mover el proyecto a infraestructura y para que el layout lógico quede bien planteado:</w:t>
      </w:r>
    </w:p>
    <w:bookmarkStart w:id="38" w:name="regla-de-cercanía-a-expedición"/>
    <w:p>
      <w:pPr>
        <w:pStyle w:val="Heading3"/>
      </w:pPr>
      <w:r>
        <w:t xml:space="preserve">Regla de cercanía a expedición</w:t>
      </w:r>
    </w:p>
    <w:p>
      <w:pPr>
        <w:pStyle w:val="FirstParagraph"/>
      </w:pPr>
      <w:r>
        <w:t xml:space="preserve">Usaría este ranking de cercanía:</w:t>
      </w:r>
    </w:p>
    <w:p>
      <w:pPr>
        <w:pStyle w:val="Compact"/>
        <w:numPr>
          <w:ilvl w:val="0"/>
          <w:numId w:val="1017"/>
        </w:numPr>
      </w:pPr>
      <w:r>
        <w:rPr>
          <w:b/>
          <w:bCs/>
        </w:rPr>
        <w:t xml:space="preserve">Pasillos 1 a 6</w:t>
      </w:r>
      <w:r>
        <w:t xml:space="preserve">: zona rápida / más favorable</w:t>
      </w:r>
    </w:p>
    <w:p>
      <w:pPr>
        <w:pStyle w:val="Compact"/>
        <w:numPr>
          <w:ilvl w:val="0"/>
          <w:numId w:val="1017"/>
        </w:numPr>
      </w:pPr>
      <w:r>
        <w:rPr>
          <w:b/>
          <w:bCs/>
        </w:rPr>
        <w:t xml:space="preserve">Pasillos 7 a 12</w:t>
      </w:r>
      <w:r>
        <w:t xml:space="preserve">: zona más lenta / de menor prioridad</w:t>
      </w:r>
    </w:p>
    <w:p>
      <w:pPr>
        <w:pStyle w:val="FirstParagraph"/>
      </w:pPr>
      <w:r>
        <w:t xml:space="preserve">Dentro de cada bloque, el orden natural es 1, 2, 3, 4, 5, 6 y luego 7, 8, 9, 10, 11, 12.</w:t>
      </w:r>
    </w:p>
    <w:bookmarkEnd w:id="38"/>
    <w:bookmarkStart w:id="39" w:name="regla-de-asignación"/>
    <w:p>
      <w:pPr>
        <w:pStyle w:val="Heading3"/>
      </w:pPr>
      <w:r>
        <w:t xml:space="preserve">Regla de asignación</w:t>
      </w:r>
    </w:p>
    <w:p>
      <w:pPr>
        <w:pStyle w:val="Compact"/>
        <w:numPr>
          <w:ilvl w:val="0"/>
          <w:numId w:val="1018"/>
        </w:numPr>
      </w:pPr>
      <w:r>
        <w:t xml:space="preserve">Propietario que quepa entero:</w:t>
      </w:r>
      <w:r>
        <w:t xml:space="preserve"> </w:t>
      </w:r>
      <w:r>
        <w:rPr>
          <w:b/>
          <w:bCs/>
        </w:rPr>
        <w:t xml:space="preserve">un pasillo completo y ambos lados</w:t>
      </w:r>
      <w:r>
        <w:t xml:space="preserve">.</w:t>
      </w:r>
    </w:p>
    <w:p>
      <w:pPr>
        <w:pStyle w:val="Compact"/>
        <w:numPr>
          <w:ilvl w:val="0"/>
          <w:numId w:val="1018"/>
        </w:numPr>
      </w:pPr>
      <w:r>
        <w:t xml:space="preserve">Si no cabe:</w:t>
      </w:r>
      <w:r>
        <w:t xml:space="preserve"> </w:t>
      </w:r>
      <w:r>
        <w:rPr>
          <w:b/>
          <w:bCs/>
        </w:rPr>
        <w:t xml:space="preserve">pasillo principal + contiguo</w:t>
      </w:r>
      <w:r>
        <w:t xml:space="preserve">.</w:t>
      </w:r>
    </w:p>
    <w:p>
      <w:pPr>
        <w:pStyle w:val="Compact"/>
        <w:numPr>
          <w:ilvl w:val="0"/>
          <w:numId w:val="1018"/>
        </w:numPr>
      </w:pPr>
      <w:r>
        <w:t xml:space="preserve">Solo metería convivencia en un mismo pasillo cuando ambos propietarios sean de</w:t>
      </w:r>
      <w:r>
        <w:t xml:space="preserve"> </w:t>
      </w:r>
      <w:r>
        <w:rPr>
          <w:b/>
          <w:bCs/>
        </w:rPr>
        <w:t xml:space="preserve">baja rotación</w:t>
      </w:r>
      <w:r>
        <w:t xml:space="preserve"> </w:t>
      </w:r>
      <w:r>
        <w:t xml:space="preserve">o de</w:t>
      </w:r>
      <w:r>
        <w:t xml:space="preserve"> </w:t>
      </w:r>
      <w:r>
        <w:rPr>
          <w:b/>
          <w:bCs/>
        </w:rPr>
        <w:t xml:space="preserve">poca necesidad de suelo especial</w:t>
      </w:r>
      <w:r>
        <w:t xml:space="preserve">.</w:t>
      </w:r>
    </w:p>
    <w:p>
      <w:pPr>
        <w:pStyle w:val="Compact"/>
        <w:numPr>
          <w:ilvl w:val="0"/>
          <w:numId w:val="1018"/>
        </w:numPr>
      </w:pPr>
      <w:r>
        <w:t xml:space="preserve">Nunca mezclaría en un mismo pasillo un propietario con mucho suelo especial y otro con mucho estándar si eso rompe recorridos.</w:t>
      </w:r>
    </w:p>
    <w:bookmarkEnd w:id="39"/>
    <w:bookmarkStart w:id="40" w:name="layout-lógico-recomendado"/>
    <w:p>
      <w:pPr>
        <w:pStyle w:val="Heading3"/>
      </w:pPr>
      <w:r>
        <w:t xml:space="preserve">Layout lógico recomendado</w:t>
      </w:r>
    </w:p>
    <w:p>
      <w:pPr>
        <w:pStyle w:val="FirstParagraph"/>
      </w:pPr>
      <w:r>
        <w:t xml:space="preserve">Mi layout recomendado es un</w:t>
      </w:r>
      <w:r>
        <w:t xml:space="preserve"> </w:t>
      </w:r>
      <w:r>
        <w:rPr>
          <w:b/>
          <w:bCs/>
        </w:rPr>
        <w:t xml:space="preserve">layout por propietario con pasillos dedicados primero y convivencia controlada después</w:t>
      </w:r>
      <w:r>
        <w:t xml:space="preserve">.</w:t>
      </w:r>
    </w:p>
    <w:p>
      <w:pPr>
        <w:pStyle w:val="BodyText"/>
      </w:pPr>
      <w:r>
        <w:t xml:space="preserve">Lo ordenaría así:</w:t>
      </w:r>
    </w:p>
    <w:p>
      <w:pPr>
        <w:pStyle w:val="Compact"/>
        <w:numPr>
          <w:ilvl w:val="0"/>
          <w:numId w:val="1019"/>
        </w:numPr>
      </w:pPr>
      <w:r>
        <w:t xml:space="preserve">Propietarios top por salidas y volumen a pasillos 1–4.</w:t>
      </w:r>
    </w:p>
    <w:p>
      <w:pPr>
        <w:pStyle w:val="Compact"/>
        <w:numPr>
          <w:ilvl w:val="0"/>
          <w:numId w:val="1019"/>
        </w:numPr>
      </w:pPr>
      <w:r>
        <w:t xml:space="preserve">Propietarios top por necesidad combinada de capacidad y suelo especial a 5–6 si no son los máximos en salidas.</w:t>
      </w:r>
    </w:p>
    <w:p>
      <w:pPr>
        <w:pStyle w:val="Compact"/>
        <w:numPr>
          <w:ilvl w:val="0"/>
          <w:numId w:val="1019"/>
        </w:numPr>
      </w:pPr>
      <w:r>
        <w:t xml:space="preserve">Propietarios medios a 7–10.</w:t>
      </w:r>
    </w:p>
    <w:p>
      <w:pPr>
        <w:pStyle w:val="Compact"/>
        <w:numPr>
          <w:ilvl w:val="0"/>
          <w:numId w:val="1019"/>
        </w:numPr>
      </w:pPr>
      <w:r>
        <w:t xml:space="preserve">Propietarios de baja rotación o residuales a 11–12, preferiblemente compartiendo.</w:t>
      </w:r>
    </w:p>
    <w:bookmarkEnd w:id="40"/>
    <w:bookmarkStart w:id="41" w:name="qué-no-haría"/>
    <w:p>
      <w:pPr>
        <w:pStyle w:val="Heading3"/>
      </w:pPr>
      <w:r>
        <w:t xml:space="preserve">Qué no haría</w:t>
      </w:r>
    </w:p>
    <w:p>
      <w:pPr>
        <w:pStyle w:val="Compact"/>
        <w:numPr>
          <w:ilvl w:val="0"/>
          <w:numId w:val="1020"/>
        </w:numPr>
      </w:pPr>
      <w:r>
        <w:t xml:space="preserve">No haría un layout dominado por afinidad SKU-SKU.</w:t>
      </w:r>
    </w:p>
    <w:p>
      <w:pPr>
        <w:pStyle w:val="Compact"/>
        <w:numPr>
          <w:ilvl w:val="0"/>
          <w:numId w:val="1020"/>
        </w:numPr>
      </w:pPr>
      <w:r>
        <w:t xml:space="preserve">No mezclaría propietarios solo porque dos SKUs salgan juntos.</w:t>
      </w:r>
    </w:p>
    <w:p>
      <w:pPr>
        <w:pStyle w:val="Compact"/>
        <w:numPr>
          <w:ilvl w:val="0"/>
          <w:numId w:val="1020"/>
        </w:numPr>
      </w:pPr>
      <w:r>
        <w:t xml:space="preserve">No cerraría el número de pasillos por propietario con stock externo sin validar.</w:t>
      </w:r>
    </w:p>
    <w:bookmarkEnd w:id="41"/>
    <w:bookmarkEnd w:id="42"/>
    <w:bookmarkStart w:id="46" w:name="necesidades-para-infraestructuras"/>
    <w:p>
      <w:pPr>
        <w:pStyle w:val="Heading2"/>
      </w:pPr>
      <w:r>
        <w:t xml:space="preserve">Necesidades para infraestructuras</w:t>
      </w:r>
    </w:p>
    <w:p>
      <w:pPr>
        <w:pStyle w:val="FirstParagraph"/>
      </w:pPr>
      <w:r>
        <w:t xml:space="preserve">Aquí sí te dejo una salida accionable ya.</w:t>
      </w:r>
    </w:p>
    <w:bookmarkStart w:id="43" w:name="Xe171caf0bdb2c4a775b356262aa5ac34991a889"/>
    <w:p>
      <w:pPr>
        <w:pStyle w:val="Heading3"/>
      </w:pPr>
      <w:r>
        <w:t xml:space="preserve">Mínimo de infraestructura que sí compraría o diseñaría ya</w:t>
      </w:r>
    </w:p>
    <w:p>
      <w:pPr>
        <w:pStyle w:val="FirstParagraph"/>
      </w:pPr>
      <w:r>
        <w:t xml:space="preserve">Sobre el stock visible actual filtrado, el mínimo de conversión base 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Tipología</w:t>
            </w:r>
          </w:p>
        </w:tc>
        <w:tc>
          <w:tcPr/>
          <w:p>
            <w:pPr>
              <w:pStyle w:val="Compact"/>
              <w:jc w:val="right"/>
            </w:pPr>
            <w:r>
              <w:t xml:space="preserve">Módulos mínimos recomendados</w:t>
            </w:r>
          </w:p>
        </w:tc>
      </w:tr>
      <w:tr>
        <w:tc>
          <w:tcPr/>
          <w:p>
            <w:pPr>
              <w:pStyle w:val="Compact"/>
            </w:pPr>
            <w:r>
              <w:t xml:space="preserve">Suelo 2,50 m</w:t>
            </w:r>
          </w:p>
        </w:tc>
        <w:tc>
          <w:tcPr/>
          <w:p>
            <w:pPr>
              <w:pStyle w:val="Compact"/>
              <w:jc w:val="right"/>
            </w:pPr>
            <w:r>
              <w:t xml:space="preserve">84</w:t>
            </w:r>
          </w:p>
        </w:tc>
      </w:tr>
      <w:tr>
        <w:tc>
          <w:tcPr/>
          <w:p>
            <w:pPr>
              <w:pStyle w:val="Compact"/>
            </w:pPr>
            <w:r>
              <w:t xml:space="preserve">Suelo 3,00 m</w:t>
            </w:r>
          </w:p>
        </w:tc>
        <w:tc>
          <w:tcPr/>
          <w:p>
            <w:pPr>
              <w:pStyle w:val="Compact"/>
              <w:jc w:val="right"/>
            </w:pPr>
            <w:r>
              <w:t xml:space="preserve">40</w:t>
            </w:r>
          </w:p>
        </w:tc>
      </w:tr>
      <w:tr>
        <w:tc>
          <w:tcPr/>
          <w:p>
            <w:pPr>
              <w:pStyle w:val="Compact"/>
            </w:pPr>
            <w:r>
              <w:t xml:space="preserve">Suelo 1,26 + balda</w:t>
            </w:r>
          </w:p>
        </w:tc>
        <w:tc>
          <w:tcPr/>
          <w:p>
            <w:pPr>
              <w:pStyle w:val="Compact"/>
              <w:jc w:val="right"/>
            </w:pPr>
            <w:r>
              <w:t xml:space="preserve">34</w:t>
            </w:r>
          </w:p>
        </w:tc>
      </w:tr>
      <w:tr>
        <w:tc>
          <w:tcPr/>
          <w:p>
            <w:pPr>
              <w:pStyle w:val="Compact"/>
            </w:pPr>
            <w:r>
              <w:t xml:space="preserve">Balda 9 huecos</w:t>
            </w:r>
          </w:p>
        </w:tc>
        <w:tc>
          <w:tcPr/>
          <w:p>
            <w:pPr>
              <w:pStyle w:val="Compact"/>
              <w:jc w:val="right"/>
            </w:pPr>
            <w:r>
              <w:t xml:space="preserve">180</w:t>
            </w:r>
          </w:p>
        </w:tc>
      </w:tr>
    </w:tbl>
    <w:bookmarkEnd w:id="43"/>
    <w:bookmarkStart w:id="44" w:name="impacto-estructural-relevante"/>
    <w:p>
      <w:pPr>
        <w:pStyle w:val="Heading3"/>
      </w:pPr>
      <w:r>
        <w:t xml:space="preserve">Impacto estructural relevante</w:t>
      </w:r>
    </w:p>
    <w:p>
      <w:pPr>
        <w:pStyle w:val="Compact"/>
        <w:numPr>
          <w:ilvl w:val="0"/>
          <w:numId w:val="1021"/>
        </w:numPr>
      </w:pPr>
      <w:r>
        <w:t xml:space="preserve">La suma mínima visible de sobrealtos</w:t>
      </w:r>
      <w:r>
        <w:t xml:space="preserve"> </w:t>
      </w:r>
      <w:r>
        <w:rPr>
          <w:rStyle w:val="VerbatimChar"/>
        </w:rPr>
        <w:t xml:space="preserve">2,50 + 3,00</w:t>
      </w:r>
      <w:r>
        <w:t xml:space="preserve"> </w:t>
      </w:r>
      <w:r>
        <w:t xml:space="preserve">implica</w:t>
      </w:r>
      <w:r>
        <w:t xml:space="preserve"> </w:t>
      </w:r>
      <w:r>
        <w:rPr>
          <w:b/>
          <w:bCs/>
        </w:rPr>
        <w:t xml:space="preserve">372 posiciones afectadas en altura 10</w:t>
      </w:r>
      <w:r>
        <w:t xml:space="preserve">.</w:t>
      </w:r>
    </w:p>
    <w:p>
      <w:pPr>
        <w:pStyle w:val="Compact"/>
        <w:numPr>
          <w:ilvl w:val="0"/>
          <w:numId w:val="1021"/>
        </w:numPr>
      </w:pPr>
      <w:r>
        <w:t xml:space="preserve">Por tanto, infraestructura debe diseñar el destino</w:t>
      </w:r>
      <w:r>
        <w:t xml:space="preserve"> </w:t>
      </w:r>
      <w:r>
        <w:rPr>
          <w:b/>
          <w:bCs/>
        </w:rPr>
        <w:t xml:space="preserve">no como 6.480 totalmente estándar</w:t>
      </w:r>
      <w:r>
        <w:t xml:space="preserve">, sino como una mezcla de:</w:t>
      </w:r>
    </w:p>
    <w:p>
      <w:pPr>
        <w:pStyle w:val="Compact"/>
        <w:numPr>
          <w:ilvl w:val="0"/>
          <w:numId w:val="1021"/>
        </w:numPr>
      </w:pPr>
      <w:r>
        <w:t xml:space="preserve">estándar,</w:t>
      </w:r>
    </w:p>
    <w:p>
      <w:pPr>
        <w:pStyle w:val="Compact"/>
        <w:numPr>
          <w:ilvl w:val="0"/>
          <w:numId w:val="1021"/>
        </w:numPr>
      </w:pPr>
      <w:r>
        <w:t xml:space="preserve">suelo sobrealto,</w:t>
      </w:r>
    </w:p>
    <w:p>
      <w:pPr>
        <w:pStyle w:val="Compact"/>
        <w:numPr>
          <w:ilvl w:val="0"/>
          <w:numId w:val="1021"/>
        </w:numPr>
      </w:pPr>
      <w:r>
        <w:t xml:space="preserve">suelo 1,26 + balda,</w:t>
      </w:r>
    </w:p>
    <w:p>
      <w:pPr>
        <w:pStyle w:val="Compact"/>
        <w:numPr>
          <w:ilvl w:val="0"/>
          <w:numId w:val="1021"/>
        </w:numPr>
      </w:pPr>
      <w:r>
        <w:t xml:space="preserve">balda pequeño formato.</w:t>
      </w:r>
    </w:p>
    <w:bookmarkEnd w:id="44"/>
    <w:bookmarkStart w:id="45" w:name="X7026ffe22ecc3dd53bd85213b0a43e96a8c7c2d"/>
    <w:p>
      <w:pPr>
        <w:pStyle w:val="Heading3"/>
      </w:pPr>
      <w:r>
        <w:t xml:space="preserve">Qué le pediría al equipo de infra antes del plano definitivo</w:t>
      </w:r>
    </w:p>
    <w:p>
      <w:pPr>
        <w:pStyle w:val="Compact"/>
        <w:numPr>
          <w:ilvl w:val="0"/>
          <w:numId w:val="1022"/>
        </w:numPr>
      </w:pPr>
      <w:r>
        <w:t xml:space="preserve">Plano maestro de módulos convertibles por pasillo.</w:t>
      </w:r>
    </w:p>
    <w:p>
      <w:pPr>
        <w:pStyle w:val="Compact"/>
        <w:numPr>
          <w:ilvl w:val="0"/>
          <w:numId w:val="1022"/>
        </w:numPr>
      </w:pPr>
      <w:r>
        <w:t xml:space="preserve">Confirmación de cuántos módulos pueden pasar a 2,50 m y 3,00 m sin comprometer estabilidad.</w:t>
      </w:r>
    </w:p>
    <w:p>
      <w:pPr>
        <w:pStyle w:val="Compact"/>
        <w:numPr>
          <w:ilvl w:val="0"/>
          <w:numId w:val="1022"/>
        </w:numPr>
      </w:pPr>
      <w:r>
        <w:t xml:space="preserve">Definición física exacta de la balda 9 huecos.</w:t>
      </w:r>
    </w:p>
    <w:p>
      <w:pPr>
        <w:pStyle w:val="Compact"/>
        <w:numPr>
          <w:ilvl w:val="0"/>
          <w:numId w:val="1022"/>
        </w:numPr>
      </w:pPr>
      <w:r>
        <w:t xml:space="preserve">Confirmación de si el 1,26 + balda se monta en todos los tramos equivalentes con la misma configuración.</w:t>
      </w:r>
    </w:p>
    <w:p>
      <w:pPr>
        <w:pStyle w:val="Compact"/>
        <w:numPr>
          <w:ilvl w:val="0"/>
          <w:numId w:val="1022"/>
        </w:numPr>
      </w:pPr>
      <w:r>
        <w:t xml:space="preserve">Reserva explícita de buffer para retornos y stock temporal fuera de cliente.</w:t>
      </w:r>
    </w:p>
    <w:bookmarkEnd w:id="45"/>
    <w:bookmarkEnd w:id="46"/>
    <w:bookmarkStart w:id="47" w:name="artículos-y-casos-conflictivos"/>
    <w:p>
      <w:pPr>
        <w:pStyle w:val="Heading2"/>
      </w:pPr>
      <w:r>
        <w:t xml:space="preserve">Artículos y casos conflictivos</w:t>
      </w:r>
    </w:p>
    <w:p>
      <w:pPr>
        <w:pStyle w:val="FirstParagraph"/>
      </w:pPr>
      <w:r>
        <w:t xml:space="preserve">La regla buena aquí no es estadística; es física.</w:t>
      </w:r>
    </w:p>
    <w:p>
      <w:pPr>
        <w:pStyle w:val="BodyText"/>
      </w:pPr>
      <w:r>
        <w:t xml:space="preserve">Son conflictivos y deben marcarse para revisión manual los artículos que cumplan alguna de estas condiciones:</w:t>
      </w:r>
    </w:p>
    <w:p>
      <w:pPr>
        <w:pStyle w:val="Compact"/>
        <w:numPr>
          <w:ilvl w:val="0"/>
          <w:numId w:val="1023"/>
        </w:numPr>
      </w:pPr>
      <w:r>
        <w:t xml:space="preserve">largo o geometría irregular que invade fondo o calle enfrentada,</w:t>
      </w:r>
    </w:p>
    <w:p>
      <w:pPr>
        <w:pStyle w:val="Compact"/>
        <w:numPr>
          <w:ilvl w:val="0"/>
          <w:numId w:val="1023"/>
        </w:numPr>
      </w:pPr>
      <w:r>
        <w:t xml:space="preserve">altura que obliga a 2,50 o 3,00,</w:t>
      </w:r>
    </w:p>
    <w:p>
      <w:pPr>
        <w:pStyle w:val="Compact"/>
        <w:numPr>
          <w:ilvl w:val="0"/>
          <w:numId w:val="1023"/>
        </w:numPr>
      </w:pPr>
      <w:r>
        <w:t xml:space="preserve">baja estabilidad,</w:t>
      </w:r>
    </w:p>
    <w:p>
      <w:pPr>
        <w:pStyle w:val="Compact"/>
        <w:numPr>
          <w:ilvl w:val="0"/>
          <w:numId w:val="1023"/>
        </w:numPr>
      </w:pPr>
      <w:r>
        <w:t xml:space="preserve">multibulto raro,</w:t>
      </w:r>
    </w:p>
    <w:p>
      <w:pPr>
        <w:pStyle w:val="Compact"/>
        <w:numPr>
          <w:ilvl w:val="0"/>
          <w:numId w:val="1023"/>
        </w:numPr>
      </w:pPr>
      <w:r>
        <w:t xml:space="preserve">o discrepancia entre ubicación observada y dimensión maestra.</w:t>
      </w:r>
    </w:p>
    <w:p>
      <w:pPr>
        <w:pStyle w:val="FirstParagraph"/>
      </w:pPr>
      <w:r>
        <w:t xml:space="preserve">Tu propia regla operativa es correcta: si hoy está en una ubicación especial de suelo,</w:t>
      </w:r>
      <w:r>
        <w:t xml:space="preserve"> </w:t>
      </w:r>
      <w:r>
        <w:rPr>
          <w:b/>
          <w:bCs/>
        </w:rPr>
        <w:t xml:space="preserve">se queda en suelo</w:t>
      </w:r>
      <w:r>
        <w:t xml:space="preserve">. Esa regla debe prevalecer sobre cualquier inferencia del histórico. fileciteturn2file0</w:t>
      </w:r>
    </w:p>
    <w:p>
      <w:pPr>
        <w:pStyle w:val="BodyText"/>
      </w:pPr>
      <w:r>
        <w:t xml:space="preserve">Mi recomendación es que la tabla de conflictivos salga en tres grupos:</w:t>
      </w:r>
    </w:p>
    <w:p>
      <w:pPr>
        <w:pStyle w:val="Compact"/>
        <w:numPr>
          <w:ilvl w:val="0"/>
          <w:numId w:val="1024"/>
        </w:numPr>
      </w:pPr>
      <w:r>
        <w:t xml:space="preserve">conflictivo confirmado por layout actual,</w:t>
      </w:r>
    </w:p>
    <w:p>
      <w:pPr>
        <w:pStyle w:val="Compact"/>
        <w:numPr>
          <w:ilvl w:val="0"/>
          <w:numId w:val="1024"/>
        </w:numPr>
      </w:pPr>
      <w:r>
        <w:t xml:space="preserve">conflictivo inferido por dimensiones,</w:t>
      </w:r>
    </w:p>
    <w:p>
      <w:pPr>
        <w:pStyle w:val="Compact"/>
        <w:numPr>
          <w:ilvl w:val="0"/>
          <w:numId w:val="1024"/>
        </w:numPr>
      </w:pPr>
      <w:r>
        <w:t xml:space="preserve">conflictivo por contradicción dato-ubicación.</w:t>
      </w:r>
    </w:p>
    <w:bookmarkEnd w:id="47"/>
    <w:bookmarkStart w:id="51" w:name="comparativa-de-escenarios-859095"/>
    <w:p>
      <w:pPr>
        <w:pStyle w:val="Heading2"/>
      </w:pPr>
      <w:r>
        <w:t xml:space="preserve">Comparativa de escenarios 85/90/95</w:t>
      </w:r>
    </w:p>
    <w:p>
      <w:pPr>
        <w:pStyle w:val="FirstParagraph"/>
      </w:pPr>
      <w:r>
        <w:t xml:space="preserve">El escenario adecuado para mover este almacén no es el 95%.</w:t>
      </w:r>
    </w:p>
    <w:bookmarkStart w:id="48" w:name="escenario-conservador-85"/>
    <w:p>
      <w:pPr>
        <w:pStyle w:val="Heading3"/>
      </w:pPr>
      <w:r>
        <w:t xml:space="preserve">Escenario conservador 85%</w:t>
      </w:r>
    </w:p>
    <w:p>
      <w:pPr>
        <w:pStyle w:val="FirstParagraph"/>
      </w:pPr>
      <w:r>
        <w:t xml:space="preserve">Es el más sano operativamente para una operativa con retornos, promociones, consumibles, reutilizables y stock fuera temporalmente. El problema es que, si de verdad vas a absorber una parte relevante del stock externo, es probable que el edificio no te lo permita sin mucha convivencia o sin overflow.</w:t>
      </w:r>
    </w:p>
    <w:bookmarkEnd w:id="48"/>
    <w:bookmarkStart w:id="49" w:name="escenario-equilibrado-90"/>
    <w:p>
      <w:pPr>
        <w:pStyle w:val="Heading3"/>
      </w:pPr>
      <w:r>
        <w:t xml:space="preserve">Escenario equilibrado 90%</w:t>
      </w:r>
    </w:p>
    <w:p>
      <w:pPr>
        <w:pStyle w:val="FirstParagraph"/>
      </w:pPr>
      <w:r>
        <w:t xml:space="preserve">Es el que yo usaría como escenario base de diseño.</w:t>
      </w:r>
      <w:r>
        <w:br/>
      </w:r>
      <w:r>
        <w:t xml:space="preserve">Te deja margen realista, no te empuja a un layout asfixiado, y soporta mejor:</w:t>
      </w:r>
    </w:p>
    <w:p>
      <w:pPr>
        <w:pStyle w:val="Compact"/>
        <w:numPr>
          <w:ilvl w:val="0"/>
          <w:numId w:val="1025"/>
        </w:numPr>
      </w:pPr>
      <w:r>
        <w:t xml:space="preserve">absorción parcial del stock externo,</w:t>
      </w:r>
    </w:p>
    <w:p>
      <w:pPr>
        <w:pStyle w:val="Compact"/>
        <w:numPr>
          <w:ilvl w:val="0"/>
          <w:numId w:val="1025"/>
        </w:numPr>
      </w:pPr>
      <w:r>
        <w:t xml:space="preserve">picos de entrada,</w:t>
      </w:r>
    </w:p>
    <w:p>
      <w:pPr>
        <w:pStyle w:val="Compact"/>
        <w:numPr>
          <w:ilvl w:val="0"/>
          <w:numId w:val="1025"/>
        </w:numPr>
      </w:pPr>
      <w:r>
        <w:t xml:space="preserve">y errores inevitables de mapeo en la transición.</w:t>
      </w:r>
    </w:p>
    <w:bookmarkEnd w:id="49"/>
    <w:bookmarkStart w:id="50" w:name="escenario-exigente-95"/>
    <w:p>
      <w:pPr>
        <w:pStyle w:val="Heading3"/>
      </w:pPr>
      <w:r>
        <w:t xml:space="preserve">Escenario exigente 95%</w:t>
      </w:r>
    </w:p>
    <w:p>
      <w:pPr>
        <w:pStyle w:val="FirstParagraph"/>
      </w:pPr>
      <w:r>
        <w:t xml:space="preserve">Lo usaría solo como</w:t>
      </w:r>
      <w:r>
        <w:t xml:space="preserve"> </w:t>
      </w:r>
      <w:r>
        <w:rPr>
          <w:b/>
          <w:bCs/>
        </w:rPr>
        <w:t xml:space="preserve">stress test</w:t>
      </w:r>
      <w:r>
        <w:t xml:space="preserve">, no como diseño operativo.</w:t>
      </w:r>
      <w:r>
        <w:br/>
      </w:r>
      <w:r>
        <w:t xml:space="preserve">Para una operativa de eventos con retornos, mezcla de tipologías y propietarios agrupados, 95% deja muy poco aire para recolocación, incidencias y entradas no previstas.</w:t>
      </w:r>
    </w:p>
    <w:bookmarkEnd w:id="50"/>
    <w:bookmarkEnd w:id="51"/>
    <w:bookmarkStart w:id="52" w:name="Xc078a4080226e19be3189acdbbfb87ba5e322da"/>
    <w:p>
      <w:pPr>
        <w:pStyle w:val="Heading2"/>
      </w:pPr>
      <w:r>
        <w:t xml:space="preserve">Validación contra la capacidad máxima real del destino</w:t>
      </w:r>
    </w:p>
    <w:p>
      <w:pPr>
        <w:pStyle w:val="FirstParagraph"/>
      </w:pPr>
      <w:r>
        <w:t xml:space="preserve">La capacidad máxima teórica del destino es</w:t>
      </w:r>
      <w:r>
        <w:t xml:space="preserve"> </w:t>
      </w:r>
      <w:r>
        <w:rPr>
          <w:b/>
          <w:bCs/>
        </w:rPr>
        <w:t xml:space="preserve">6.480</w:t>
      </w:r>
      <w:r>
        <w:t xml:space="preserve">. fileciteturn3file3</w:t>
      </w:r>
    </w:p>
    <w:p>
      <w:pPr>
        <w:pStyle w:val="BodyText"/>
      </w:pPr>
      <w:r>
        <w:t xml:space="preserve">Mi validación honesta es esta:</w:t>
      </w:r>
    </w:p>
    <w:p>
      <w:pPr>
        <w:pStyle w:val="Compact"/>
        <w:numPr>
          <w:ilvl w:val="0"/>
          <w:numId w:val="1026"/>
        </w:numPr>
      </w:pPr>
      <w:r>
        <w:rPr>
          <w:b/>
          <w:bCs/>
        </w:rPr>
        <w:t xml:space="preserve">Sí puedo validar la capacidad teórica</w:t>
      </w:r>
      <w:r>
        <w:t xml:space="preserve">.</w:t>
      </w:r>
    </w:p>
    <w:p>
      <w:pPr>
        <w:pStyle w:val="Compact"/>
        <w:numPr>
          <w:ilvl w:val="0"/>
          <w:numId w:val="1026"/>
        </w:numPr>
      </w:pPr>
      <w:r>
        <w:rPr>
          <w:b/>
          <w:bCs/>
        </w:rPr>
        <w:t xml:space="preserve">Sí puedo validar el mínimo de suelo especial visible hoy</w:t>
      </w:r>
      <w:r>
        <w:t xml:space="preserve">.</w:t>
      </w:r>
    </w:p>
    <w:p>
      <w:pPr>
        <w:pStyle w:val="Compact"/>
        <w:numPr>
          <w:ilvl w:val="0"/>
          <w:numId w:val="1026"/>
        </w:numPr>
      </w:pPr>
      <w:r>
        <w:rPr>
          <w:b/>
          <w:bCs/>
        </w:rPr>
        <w:t xml:space="preserve">No puedo validar todavía de forma robusta la cabida total final incluyendo el stock externo</w:t>
      </w:r>
      <w:r>
        <w:t xml:space="preserve">.</w:t>
      </w:r>
    </w:p>
    <w:p>
      <w:pPr>
        <w:pStyle w:val="FirstParagraph"/>
      </w:pPr>
      <w:r>
        <w:t xml:space="preserve">Con el stock externo tratado de forma ingenua, la demanda explota a una magnitud absurda y el modelo deja de ser creíble. Eso no significa que no quepa; significa que</w:t>
      </w:r>
      <w:r>
        <w:t xml:space="preserve"> </w:t>
      </w:r>
      <w:r>
        <w:rPr>
          <w:b/>
          <w:bCs/>
        </w:rPr>
        <w:t xml:space="preserve">el fichero externo no está aún convertido correctamente</w:t>
      </w:r>
      <w:r>
        <w:t xml:space="preserve">.</w:t>
      </w:r>
    </w:p>
    <w:p>
      <w:pPr>
        <w:pStyle w:val="BodyText"/>
      </w:pPr>
      <w:r>
        <w:t xml:space="preserve">Por tanto, hoy la respuesta correcta no es “cabe” o “no cabe” en cerrado. La respuesta correcta es:</w:t>
      </w:r>
    </w:p>
    <w:p>
      <w:pPr>
        <w:pStyle w:val="Compact"/>
        <w:numPr>
          <w:ilvl w:val="0"/>
          <w:numId w:val="1027"/>
        </w:numPr>
      </w:pPr>
      <w:r>
        <w:rPr>
          <w:b/>
          <w:bCs/>
        </w:rPr>
        <w:t xml:space="preserve">el layout físico mínimo sí puede arrancarse</w:t>
      </w:r>
      <w:r>
        <w:t xml:space="preserve">,</w:t>
      </w:r>
    </w:p>
    <w:p>
      <w:pPr>
        <w:pStyle w:val="Compact"/>
        <w:numPr>
          <w:ilvl w:val="0"/>
          <w:numId w:val="1027"/>
        </w:numPr>
      </w:pPr>
      <w:r>
        <w:rPr>
          <w:b/>
          <w:bCs/>
        </w:rPr>
        <w:t xml:space="preserve">la cabida final con absorción externa está abierta</w:t>
      </w:r>
      <w:r>
        <w:t xml:space="preserve">,</w:t>
      </w:r>
    </w:p>
    <w:p>
      <w:pPr>
        <w:pStyle w:val="Compact"/>
        <w:numPr>
          <w:ilvl w:val="0"/>
          <w:numId w:val="1027"/>
        </w:numPr>
      </w:pPr>
      <w:r>
        <w:t xml:space="preserve">y</w:t>
      </w:r>
      <w:r>
        <w:t xml:space="preserve"> </w:t>
      </w:r>
      <w:r>
        <w:rPr>
          <w:b/>
          <w:bCs/>
        </w:rPr>
        <w:t xml:space="preserve">el dato que la decide es la equivalencia artículo-propietario de UDS a posiciones reales</w:t>
      </w:r>
      <w:r>
        <w:t xml:space="preserve">.</w:t>
      </w:r>
    </w:p>
    <w:bookmarkEnd w:id="52"/>
    <w:bookmarkStart w:id="53" w:name="Xa10271c2972f7d7ab9e358ac8de403eaebb1108"/>
    <w:p>
      <w:pPr>
        <w:pStyle w:val="Heading2"/>
      </w:pPr>
      <w:r>
        <w:t xml:space="preserve">Diferencias clave frente al estudio previo</w:t>
      </w:r>
    </w:p>
    <w:p>
      <w:pPr>
        <w:pStyle w:val="FirstParagraph"/>
      </w:pPr>
      <w:r>
        <w:t xml:space="preserve">No he recibido el estudio previo, así que no voy a inventar una comparativa numérica.</w:t>
      </w:r>
    </w:p>
    <w:p>
      <w:pPr>
        <w:pStyle w:val="BodyText"/>
      </w:pPr>
      <w:r>
        <w:t xml:space="preserve">Sí puedo dejar claras las diferencias conceptuales que necesariamente cambian la solución respecto a cualquier estudio anterior que no hubiera incorporado este nuevo marco:</w:t>
      </w:r>
    </w:p>
    <w:p>
      <w:pPr>
        <w:pStyle w:val="Compact"/>
        <w:numPr>
          <w:ilvl w:val="0"/>
          <w:numId w:val="1028"/>
        </w:numPr>
      </w:pPr>
      <w:r>
        <w:t xml:space="preserve">Ahora la agrupación por propietario es la prioridad absoluta.</w:t>
      </w:r>
    </w:p>
    <w:p>
      <w:pPr>
        <w:pStyle w:val="Compact"/>
        <w:numPr>
          <w:ilvl w:val="0"/>
          <w:numId w:val="1028"/>
        </w:numPr>
      </w:pPr>
      <w:r>
        <w:t xml:space="preserve">Ahora el stock externo entra explícitamente en el dimensionamiento.</w:t>
      </w:r>
    </w:p>
    <w:p>
      <w:pPr>
        <w:pStyle w:val="Compact"/>
        <w:numPr>
          <w:ilvl w:val="0"/>
          <w:numId w:val="1028"/>
        </w:numPr>
      </w:pPr>
      <w:r>
        <w:t xml:space="preserve">Ahora la separación origen / externo / destino está forzada y bien definida.</w:t>
      </w:r>
    </w:p>
    <w:p>
      <w:pPr>
        <w:pStyle w:val="Compact"/>
        <w:numPr>
          <w:ilvl w:val="0"/>
          <w:numId w:val="1028"/>
        </w:numPr>
      </w:pPr>
      <w:r>
        <w:t xml:space="preserve">Ahora las ubicaciones especiales de suelo se tratan como</w:t>
      </w:r>
      <w:r>
        <w:t xml:space="preserve"> </w:t>
      </w:r>
      <w:r>
        <w:rPr>
          <w:b/>
          <w:bCs/>
        </w:rPr>
        <w:t xml:space="preserve">restricción operativa dura</w:t>
      </w:r>
      <w:r>
        <w:t xml:space="preserve">, no como simple patrón histórico.</w:t>
      </w:r>
    </w:p>
    <w:p>
      <w:pPr>
        <w:pStyle w:val="Compact"/>
        <w:numPr>
          <w:ilvl w:val="0"/>
          <w:numId w:val="1028"/>
        </w:numPr>
      </w:pPr>
      <w:r>
        <w:t xml:space="preserve">Ahora el market basket queda en su sitio correcto: apoyo secundario, no criterio dominante.</w:t>
      </w:r>
      <w:r>
        <w:t xml:space="preserve"> </w:t>
      </w:r>
      <w:hyperlink r:id="rId21">
        <w:r>
          <w:rPr>
            <w:rStyle w:val="Hyperlink"/>
          </w:rPr>
          <w:t xml:space="preserve">[1]</w:t>
        </w:r>
      </w:hyperlink>
    </w:p>
    <w:bookmarkEnd w:id="53"/>
    <w:bookmarkStart w:id="54" w:name="recomendación-ejecutiva-final"/>
    <w:p>
      <w:pPr>
        <w:pStyle w:val="Heading2"/>
      </w:pPr>
      <w:r>
        <w:t xml:space="preserve">Recomendación ejecutiva final</w:t>
      </w:r>
    </w:p>
    <w:p>
      <w:pPr>
        <w:pStyle w:val="FirstParagraph"/>
      </w:pPr>
      <w:r>
        <w:t xml:space="preserve">Mi recomendación ejecutiva es esta:</w:t>
      </w:r>
    </w:p>
    <w:p>
      <w:pPr>
        <w:pStyle w:val="BodyText"/>
      </w:pPr>
      <w:r>
        <w:rPr>
          <w:b/>
          <w:bCs/>
        </w:rPr>
        <w:t xml:space="preserve">No cierres todavía el reparto final propietario-pasillo con el stock externo metido a saco.</w:t>
      </w:r>
      <w:r>
        <w:br/>
      </w:r>
      <w:r>
        <w:rPr>
          <w:b/>
          <w:bCs/>
        </w:rPr>
        <w:t xml:space="preserve">Sí cierra ya la ingeniería del almacén destino en cuatro capas.</w:t>
      </w:r>
    </w:p>
    <w:p>
      <w:pPr>
        <w:pStyle w:val="BodyText"/>
      </w:pPr>
      <w:r>
        <w:t xml:space="preserve">La secuencia correcta es:</w:t>
      </w:r>
    </w:p>
    <w:p>
      <w:pPr>
        <w:pStyle w:val="BodyText"/>
      </w:pPr>
      <w:r>
        <w:t xml:space="preserve">Primero, diseñar el destino a</w:t>
      </w:r>
      <w:r>
        <w:t xml:space="preserve"> </w:t>
      </w:r>
      <w:r>
        <w:rPr>
          <w:b/>
          <w:bCs/>
        </w:rPr>
        <w:t xml:space="preserve">90% de ocupación objetivo</w:t>
      </w:r>
      <w:r>
        <w:t xml:space="preserve">.</w:t>
      </w:r>
    </w:p>
    <w:p>
      <w:pPr>
        <w:pStyle w:val="BodyText"/>
      </w:pPr>
      <w:r>
        <w:t xml:space="preserve">Segundo, reservar ya el</w:t>
      </w:r>
      <w:r>
        <w:t xml:space="preserve"> </w:t>
      </w:r>
      <w:r>
        <w:rPr>
          <w:b/>
          <w:bCs/>
        </w:rPr>
        <w:t xml:space="preserve">mínimo visible de suelo especial</w:t>
      </w:r>
      <w:r>
        <w:t xml:space="preserve">:</w:t>
      </w:r>
    </w:p>
    <w:p>
      <w:pPr>
        <w:pStyle w:val="Compact"/>
        <w:numPr>
          <w:ilvl w:val="0"/>
          <w:numId w:val="1029"/>
        </w:numPr>
      </w:pPr>
      <w:r>
        <w:t xml:space="preserve">84 módulos 2,50 m,</w:t>
      </w:r>
    </w:p>
    <w:p>
      <w:pPr>
        <w:pStyle w:val="Compact"/>
        <w:numPr>
          <w:ilvl w:val="0"/>
          <w:numId w:val="1029"/>
        </w:numPr>
      </w:pPr>
      <w:r>
        <w:t xml:space="preserve">40 módulos 3,00 m,</w:t>
      </w:r>
    </w:p>
    <w:p>
      <w:pPr>
        <w:pStyle w:val="Compact"/>
        <w:numPr>
          <w:ilvl w:val="0"/>
          <w:numId w:val="1029"/>
        </w:numPr>
      </w:pPr>
      <w:r>
        <w:t xml:space="preserve">34 módulos 1,26 + balda,</w:t>
      </w:r>
    </w:p>
    <w:p>
      <w:pPr>
        <w:pStyle w:val="Compact"/>
        <w:numPr>
          <w:ilvl w:val="0"/>
          <w:numId w:val="1029"/>
        </w:numPr>
      </w:pPr>
      <w:r>
        <w:t xml:space="preserve">180 módulos de balda 9 huecos.</w:t>
      </w:r>
    </w:p>
    <w:p>
      <w:pPr>
        <w:pStyle w:val="FirstParagraph"/>
      </w:pPr>
      <w:r>
        <w:t xml:space="preserve">Tercero, rehacer el ranking de propietarios solo con histórico robusto y con la regla de proximidad a expedición:</w:t>
      </w:r>
    </w:p>
    <w:p>
      <w:pPr>
        <w:pStyle w:val="Compact"/>
        <w:numPr>
          <w:ilvl w:val="0"/>
          <w:numId w:val="1030"/>
        </w:numPr>
      </w:pPr>
      <w:r>
        <w:t xml:space="preserve">top propietarios a pasillos 1–6,</w:t>
      </w:r>
    </w:p>
    <w:p>
      <w:pPr>
        <w:pStyle w:val="Compact"/>
        <w:numPr>
          <w:ilvl w:val="0"/>
          <w:numId w:val="1030"/>
        </w:numPr>
      </w:pPr>
      <w:r>
        <w:t xml:space="preserve">resto a 7–12,</w:t>
      </w:r>
    </w:p>
    <w:p>
      <w:pPr>
        <w:pStyle w:val="Compact"/>
        <w:numPr>
          <w:ilvl w:val="0"/>
          <w:numId w:val="1030"/>
        </w:numPr>
      </w:pPr>
      <w:r>
        <w:t xml:space="preserve">convivencia solo cuando sea claramente beneficiosa.</w:t>
      </w:r>
    </w:p>
    <w:p>
      <w:pPr>
        <w:pStyle w:val="FirstParagraph"/>
      </w:pPr>
      <w:r>
        <w:t xml:space="preserve">Cuarto, abrir una mini-fase específica de validación del stock externo con foco exclusivo en:</w:t>
      </w:r>
    </w:p>
    <w:p>
      <w:pPr>
        <w:pStyle w:val="Compact"/>
        <w:numPr>
          <w:ilvl w:val="0"/>
          <w:numId w:val="1031"/>
        </w:numPr>
      </w:pPr>
      <w:r>
        <w:t xml:space="preserve">granularidad real de línea,</w:t>
      </w:r>
    </w:p>
    <w:p>
      <w:pPr>
        <w:pStyle w:val="Compact"/>
        <w:numPr>
          <w:ilvl w:val="0"/>
          <w:numId w:val="1031"/>
        </w:numPr>
      </w:pPr>
      <w:r>
        <w:t xml:space="preserve">equivalencia UDS → posiciones,</w:t>
      </w:r>
    </w:p>
    <w:p>
      <w:pPr>
        <w:pStyle w:val="Compact"/>
        <w:numPr>
          <w:ilvl w:val="0"/>
          <w:numId w:val="1031"/>
        </w:numPr>
      </w:pPr>
      <w:r>
        <w:t xml:space="preserve">y mapeo fiable</w:t>
      </w:r>
      <w:r>
        <w:t xml:space="preserve"> </w:t>
      </w:r>
      <w:r>
        <w:rPr>
          <w:rStyle w:val="VerbatimChar"/>
        </w:rPr>
        <w:t xml:space="preserve">RESERVA</w:t>
      </w:r>
      <w:r>
        <w:t xml:space="preserve"> </w:t>
      </w:r>
      <w:r>
        <w:t xml:space="preserve">→ propietario base.</w:t>
      </w:r>
    </w:p>
    <w:p>
      <w:pPr>
        <w:pStyle w:val="FirstParagraph"/>
      </w:pPr>
      <w:r>
        <w:t xml:space="preserve">Hasta que eso no esté cerrado, el stock externo debe entrar en el proyecto como:</w:t>
      </w:r>
    </w:p>
    <w:p>
      <w:pPr>
        <w:pStyle w:val="Compact"/>
        <w:numPr>
          <w:ilvl w:val="0"/>
          <w:numId w:val="1032"/>
        </w:numPr>
      </w:pPr>
      <w:r>
        <w:rPr>
          <w:b/>
          <w:bCs/>
        </w:rPr>
        <w:t xml:space="preserve">reserva de capacidad</w:t>
      </w:r>
      <w:r>
        <w:t xml:space="preserve">,</w:t>
      </w:r>
    </w:p>
    <w:p>
      <w:pPr>
        <w:pStyle w:val="Compact"/>
        <w:numPr>
          <w:ilvl w:val="0"/>
          <w:numId w:val="1032"/>
        </w:numPr>
      </w:pPr>
      <w:r>
        <w:rPr>
          <w:b/>
          <w:bCs/>
        </w:rPr>
        <w:t xml:space="preserve">buffer</w:t>
      </w:r>
      <w:r>
        <w:t xml:space="preserve">,</w:t>
      </w:r>
    </w:p>
    <w:p>
      <w:pPr>
        <w:pStyle w:val="Compact"/>
        <w:numPr>
          <w:ilvl w:val="0"/>
          <w:numId w:val="1032"/>
        </w:numPr>
      </w:pPr>
      <w:r>
        <w:t xml:space="preserve">o</w:t>
      </w:r>
      <w:r>
        <w:t xml:space="preserve"> </w:t>
      </w:r>
      <w:r>
        <w:rPr>
          <w:b/>
          <w:bCs/>
        </w:rPr>
        <w:t xml:space="preserve">pasillos condicionados</w:t>
      </w:r>
      <w:r>
        <w:t xml:space="preserve">,</w:t>
      </w:r>
      <w:r>
        <w:br/>
      </w:r>
      <w:r>
        <w:t xml:space="preserve">pero no como asignación definitiva de ingeniería cerrada por propietario.</w:t>
      </w:r>
    </w:p>
    <w:bookmarkEnd w:id="54"/>
    <w:bookmarkStart w:id="55" w:name="X673ce17551d243304e96accc7a58e1ca984b8cc"/>
    <w:p>
      <w:pPr>
        <w:pStyle w:val="Heading2"/>
      </w:pPr>
      <w:r>
        <w:t xml:space="preserve">Qué decisión tomaría si tuviera que mover el almacén mañana</w:t>
      </w:r>
    </w:p>
    <w:p>
      <w:pPr>
        <w:pStyle w:val="FirstParagraph"/>
      </w:pPr>
      <w:r>
        <w:t xml:space="preserve">Si tuviera que moverlo mañana, haría esto:</w:t>
      </w:r>
    </w:p>
    <w:p>
      <w:pPr>
        <w:pStyle w:val="BodyText"/>
      </w:pPr>
      <w:r>
        <w:t xml:space="preserve">Congelaría desde ya un layout destino por propietario con la zona rápida 1–6 reservada para los propietarios top por salidas históricas y la zona 7–12 para medios y residuales.</w:t>
      </w:r>
    </w:p>
    <w:p>
      <w:pPr>
        <w:pStyle w:val="BodyText"/>
      </w:pPr>
      <w:r>
        <w:t xml:space="preserve">Pediría a infraestructuras que monte ya el mínimo visible de suelo especial actual, porque ese dato sí está soportado por realidad física observada.</w:t>
      </w:r>
    </w:p>
    <w:p>
      <w:pPr>
        <w:pStyle w:val="BodyText"/>
      </w:pPr>
      <w:r>
        <w:t xml:space="preserve">Dejaría una franja de capacidad sin owner definitivo para absorber el stock externo en transición.</w:t>
      </w:r>
    </w:p>
    <w:p>
      <w:pPr>
        <w:pStyle w:val="BodyText"/>
      </w:pPr>
      <w:r>
        <w:t xml:space="preserve">No movería propietarios “grandes” compartiendo pasillo salvo necesidad muy clara.</w:t>
      </w:r>
    </w:p>
    <w:p>
      <w:pPr>
        <w:pStyle w:val="BodyText"/>
      </w:pPr>
      <w:r>
        <w:t xml:space="preserve">Y dejaría el market basket solo para una segunda capa: secuenciar dentro de cada bloque de propietario qué SKU conviene acercar, no para decidir dónde vive cada propietario.</w:t>
      </w:r>
      <w:r>
        <w:t xml:space="preserve"> </w:t>
      </w:r>
      <w:hyperlink r:id="rId21">
        <w:r>
          <w:rPr>
            <w:rStyle w:val="Hyperlink"/>
          </w:rPr>
          <w:t xml:space="preserve">[1]</w:t>
        </w:r>
      </w:hyperlink>
    </w:p>
    <w:bookmarkEnd w:id="55"/>
    <w:bookmarkStart w:id="59" w:name="input-preparado-para-codex"/>
    <w:p>
      <w:pPr>
        <w:pStyle w:val="Heading2"/>
      </w:pPr>
      <w:r>
        <w:t xml:space="preserve">Input preparado para Codex</w:t>
      </w:r>
    </w:p>
    <w:bookmarkStart w:id="56" w:name="tablas-limpias-que-codex-debe-construir"/>
    <w:p>
      <w:pPr>
        <w:pStyle w:val="Heading3"/>
      </w:pPr>
      <w:r>
        <w:t xml:space="preserve">Tablas limpias que Codex debe construir</w:t>
      </w:r>
    </w:p>
    <w:p>
      <w:pPr>
        <w:pStyle w:val="FirstParagraph"/>
      </w:pPr>
      <w:r>
        <w:t xml:space="preserve">Estas son las tablas que deben salir, separando siempre</w:t>
      </w:r>
      <w:r>
        <w:t xml:space="preserve"> </w:t>
      </w:r>
      <w:r>
        <w:rPr>
          <w:b/>
          <w:bCs/>
        </w:rPr>
        <w:t xml:space="preserve">hecho</w:t>
      </w:r>
      <w:r>
        <w:t xml:space="preserve">,</w:t>
      </w:r>
      <w:r>
        <w:t xml:space="preserve"> </w:t>
      </w:r>
      <w:r>
        <w:rPr>
          <w:b/>
          <w:bCs/>
        </w:rPr>
        <w:t xml:space="preserve">inferencia</w:t>
      </w:r>
      <w:r>
        <w:t xml:space="preserve"> </w:t>
      </w:r>
      <w:r>
        <w:t xml:space="preserve">y</w:t>
      </w:r>
      <w:r>
        <w:t xml:space="preserve"> </w:t>
      </w:r>
      <w:r>
        <w:rPr>
          <w:b/>
          <w:bCs/>
        </w:rPr>
        <w:t xml:space="preserve">supuesto</w:t>
      </w:r>
      <w:r>
        <w:t xml:space="preserve">:</w:t>
      </w:r>
    </w:p>
    <w:p>
      <w:pPr>
        <w:numPr>
          <w:ilvl w:val="0"/>
          <w:numId w:val="1033"/>
        </w:numPr>
      </w:pPr>
      <w:r>
        <w:rPr>
          <w:rStyle w:val="VerbatimChar"/>
        </w:rPr>
        <w:t xml:space="preserve">tabla_capacidad_pasillo</w:t>
      </w:r>
      <w:r>
        <w:br/>
      </w:r>
      <w:r>
        <w:t xml:space="preserve">Columnas:</w:t>
      </w:r>
      <w:r>
        <w:t xml:space="preserve"> </w:t>
      </w:r>
      <w:r>
        <w:rPr>
          <w:rStyle w:val="VerbatimChar"/>
        </w:rPr>
        <w:t xml:space="preserve">pasillo_destino</w:t>
      </w:r>
      <w:r>
        <w:t xml:space="preserve">,</w:t>
      </w:r>
      <w:r>
        <w:t xml:space="preserve"> </w:t>
      </w:r>
      <w:r>
        <w:rPr>
          <w:rStyle w:val="VerbatimChar"/>
        </w:rPr>
        <w:t xml:space="preserve">capacidad_teorica</w:t>
      </w:r>
      <w:r>
        <w:t xml:space="preserve">,</w:t>
      </w:r>
      <w:r>
        <w:t xml:space="preserve"> </w:t>
      </w:r>
      <w:r>
        <w:rPr>
          <w:rStyle w:val="VerbatimChar"/>
        </w:rPr>
        <w:t xml:space="preserve">capacidad_estandar_00</w:t>
      </w:r>
      <w:r>
        <w:t xml:space="preserve">,</w:t>
      </w:r>
      <w:r>
        <w:t xml:space="preserve"> </w:t>
      </w:r>
      <w:r>
        <w:rPr>
          <w:rStyle w:val="VerbatimChar"/>
        </w:rPr>
        <w:t xml:space="preserve">capacidad_estandar_10</w:t>
      </w:r>
      <w:r>
        <w:t xml:space="preserve">,</w:t>
      </w:r>
      <w:r>
        <w:t xml:space="preserve"> </w:t>
      </w:r>
      <w:r>
        <w:rPr>
          <w:rStyle w:val="VerbatimChar"/>
        </w:rPr>
        <w:t xml:space="preserve">capacidad_estandar_20</w:t>
      </w:r>
      <w:r>
        <w:t xml:space="preserve">,</w:t>
      </w:r>
      <w:r>
        <w:t xml:space="preserve"> </w:t>
      </w:r>
      <w:r>
        <w:rPr>
          <w:rStyle w:val="VerbatimChar"/>
        </w:rPr>
        <w:t xml:space="preserve">capacidad_estandar_30</w:t>
      </w:r>
      <w:r>
        <w:t xml:space="preserve">,</w:t>
      </w:r>
      <w:r>
        <w:t xml:space="preserve"> </w:t>
      </w:r>
      <w:r>
        <w:rPr>
          <w:rStyle w:val="VerbatimChar"/>
        </w:rPr>
        <w:t xml:space="preserve">capacidad_estandar_40</w:t>
      </w:r>
      <w:r>
        <w:t xml:space="preserve">,</w:t>
      </w:r>
      <w:r>
        <w:t xml:space="preserve"> </w:t>
      </w:r>
      <w:r>
        <w:rPr>
          <w:rStyle w:val="VerbatimChar"/>
        </w:rPr>
        <w:t xml:space="preserve">penalizacion_10</w:t>
      </w:r>
      <w:r>
        <w:t xml:space="preserve">,</w:t>
      </w:r>
      <w:r>
        <w:t xml:space="preserve"> </w:t>
      </w:r>
      <w:r>
        <w:rPr>
          <w:rStyle w:val="VerbatimChar"/>
        </w:rPr>
        <w:t xml:space="preserve">capacidad_util_resultante</w:t>
      </w:r>
    </w:p>
    <w:p>
      <w:pPr>
        <w:numPr>
          <w:ilvl w:val="0"/>
          <w:numId w:val="1033"/>
        </w:numPr>
      </w:pPr>
      <w:r>
        <w:rPr>
          <w:rStyle w:val="VerbatimChar"/>
        </w:rPr>
        <w:t xml:space="preserve">tabla_demanda_propietario</w:t>
      </w:r>
      <w:r>
        <w:br/>
      </w:r>
      <w:r>
        <w:t xml:space="preserve">Columnas:</w:t>
      </w:r>
      <w:r>
        <w:t xml:space="preserve"> </w:t>
      </w:r>
      <w:r>
        <w:rPr>
          <w:rStyle w:val="VerbatimChar"/>
        </w:rPr>
        <w:t xml:space="preserve">propietario</w:t>
      </w:r>
      <w:r>
        <w:t xml:space="preserve">,</w:t>
      </w:r>
      <w:r>
        <w:t xml:space="preserve"> </w:t>
      </w:r>
      <w:r>
        <w:rPr>
          <w:rStyle w:val="VerbatimChar"/>
        </w:rPr>
        <w:t xml:space="preserve">EU_actual</w:t>
      </w:r>
      <w:r>
        <w:t xml:space="preserve">,</w:t>
      </w:r>
      <w:r>
        <w:t xml:space="preserve"> </w:t>
      </w:r>
      <w:r>
        <w:rPr>
          <w:rStyle w:val="VerbatimChar"/>
        </w:rPr>
        <w:t xml:space="preserve">AM_actual</w:t>
      </w:r>
      <w:r>
        <w:t xml:space="preserve">,</w:t>
      </w:r>
      <w:r>
        <w:t xml:space="preserve"> </w:t>
      </w:r>
      <w:r>
        <w:rPr>
          <w:rStyle w:val="VerbatimChar"/>
        </w:rPr>
        <w:t xml:space="preserve">TR_actual</w:t>
      </w:r>
      <w:r>
        <w:t xml:space="preserve">,</w:t>
      </w:r>
      <w:r>
        <w:t xml:space="preserve"> </w:t>
      </w:r>
      <w:r>
        <w:rPr>
          <w:rStyle w:val="VerbatimChar"/>
        </w:rPr>
        <w:t xml:space="preserve">suelo_estandar_actual</w:t>
      </w:r>
      <w:r>
        <w:t xml:space="preserve">,</w:t>
      </w:r>
      <w:r>
        <w:t xml:space="preserve"> </w:t>
      </w:r>
      <w:r>
        <w:rPr>
          <w:rStyle w:val="VerbatimChar"/>
        </w:rPr>
        <w:t xml:space="preserve">suelo_250_actual</w:t>
      </w:r>
      <w:r>
        <w:t xml:space="preserve">,</w:t>
      </w:r>
      <w:r>
        <w:t xml:space="preserve"> </w:t>
      </w:r>
      <w:r>
        <w:rPr>
          <w:rStyle w:val="VerbatimChar"/>
        </w:rPr>
        <w:t xml:space="preserve">suelo_300_actual</w:t>
      </w:r>
      <w:r>
        <w:t xml:space="preserve">,</w:t>
      </w:r>
      <w:r>
        <w:t xml:space="preserve"> </w:t>
      </w:r>
      <w:r>
        <w:rPr>
          <w:rStyle w:val="VerbatimChar"/>
        </w:rPr>
        <w:t xml:space="preserve">suelo_126_actual</w:t>
      </w:r>
      <w:r>
        <w:t xml:space="preserve">,</w:t>
      </w:r>
      <w:r>
        <w:t xml:space="preserve"> </w:t>
      </w:r>
      <w:r>
        <w:rPr>
          <w:rStyle w:val="VerbatimChar"/>
        </w:rPr>
        <w:t xml:space="preserve">balda_9h_actual</w:t>
      </w:r>
      <w:r>
        <w:t xml:space="preserve">,</w:t>
      </w:r>
      <w:r>
        <w:t xml:space="preserve"> </w:t>
      </w:r>
      <w:r>
        <w:rPr>
          <w:rStyle w:val="VerbatimChar"/>
        </w:rPr>
        <w:t xml:space="preserve">EU_externo_soportado</w:t>
      </w:r>
      <w:r>
        <w:t xml:space="preserve">,</w:t>
      </w:r>
      <w:r>
        <w:t xml:space="preserve"> </w:t>
      </w:r>
      <w:r>
        <w:rPr>
          <w:rStyle w:val="VerbatimChar"/>
        </w:rPr>
        <w:t xml:space="preserve">AM_externo_soportado</w:t>
      </w:r>
      <w:r>
        <w:t xml:space="preserve">,</w:t>
      </w:r>
      <w:r>
        <w:t xml:space="preserve"> </w:t>
      </w:r>
      <w:r>
        <w:rPr>
          <w:rStyle w:val="VerbatimChar"/>
        </w:rPr>
        <w:t xml:space="preserve">TR_externo_soportado</w:t>
      </w:r>
      <w:r>
        <w:t xml:space="preserve">,</w:t>
      </w:r>
      <w:r>
        <w:t xml:space="preserve"> </w:t>
      </w:r>
      <w:r>
        <w:rPr>
          <w:rStyle w:val="VerbatimChar"/>
        </w:rPr>
        <w:t xml:space="preserve">suelo_estandar_externo_soportado</w:t>
      </w:r>
      <w:r>
        <w:t xml:space="preserve">,</w:t>
      </w:r>
      <w:r>
        <w:t xml:space="preserve"> </w:t>
      </w:r>
      <w:r>
        <w:rPr>
          <w:rStyle w:val="VerbatimChar"/>
        </w:rPr>
        <w:t xml:space="preserve">suelo_250_externo_soportado</w:t>
      </w:r>
      <w:r>
        <w:t xml:space="preserve">,</w:t>
      </w:r>
      <w:r>
        <w:t xml:space="preserve"> </w:t>
      </w:r>
      <w:r>
        <w:rPr>
          <w:rStyle w:val="VerbatimChar"/>
        </w:rPr>
        <w:t xml:space="preserve">suelo_300_externo_soportado</w:t>
      </w:r>
      <w:r>
        <w:t xml:space="preserve">,</w:t>
      </w:r>
      <w:r>
        <w:t xml:space="preserve"> </w:t>
      </w:r>
      <w:r>
        <w:rPr>
          <w:rStyle w:val="VerbatimChar"/>
        </w:rPr>
        <w:t xml:space="preserve">suelo_126_externo_soportado</w:t>
      </w:r>
      <w:r>
        <w:t xml:space="preserve">,</w:t>
      </w:r>
      <w:r>
        <w:t xml:space="preserve"> </w:t>
      </w:r>
      <w:r>
        <w:rPr>
          <w:rStyle w:val="VerbatimChar"/>
        </w:rPr>
        <w:t xml:space="preserve">balda_9h_externo_soportado</w:t>
      </w:r>
      <w:r>
        <w:t xml:space="preserve">,</w:t>
      </w:r>
      <w:r>
        <w:t xml:space="preserve"> </w:t>
      </w:r>
      <w:r>
        <w:rPr>
          <w:rStyle w:val="VerbatimChar"/>
        </w:rPr>
        <w:t xml:space="preserve">externo_inferido</w:t>
      </w:r>
      <w:r>
        <w:t xml:space="preserve">,</w:t>
      </w:r>
      <w:r>
        <w:t xml:space="preserve"> </w:t>
      </w:r>
      <w:r>
        <w:rPr>
          <w:rStyle w:val="VerbatimChar"/>
        </w:rPr>
        <w:t xml:space="preserve">externo_revision_manual</w:t>
      </w:r>
      <w:r>
        <w:t xml:space="preserve">,</w:t>
      </w:r>
      <w:r>
        <w:t xml:space="preserve"> </w:t>
      </w:r>
      <w:r>
        <w:rPr>
          <w:rStyle w:val="VerbatimChar"/>
        </w:rPr>
        <w:t xml:space="preserve">total_recomendado_90</w:t>
      </w:r>
    </w:p>
    <w:p>
      <w:pPr>
        <w:numPr>
          <w:ilvl w:val="0"/>
          <w:numId w:val="1033"/>
        </w:numPr>
      </w:pPr>
      <w:r>
        <w:rPr>
          <w:rStyle w:val="VerbatimChar"/>
        </w:rPr>
        <w:t xml:space="preserve">tabla_stock_externo_resumen</w:t>
      </w:r>
      <w:r>
        <w:br/>
      </w:r>
      <w:r>
        <w:t xml:space="preserve">Columnas:</w:t>
      </w:r>
      <w:r>
        <w:t xml:space="preserve"> </w:t>
      </w:r>
      <w:r>
        <w:rPr>
          <w:rStyle w:val="VerbatimChar"/>
        </w:rPr>
        <w:t xml:space="preserve">filas_totales</w:t>
      </w:r>
      <w:r>
        <w:t xml:space="preserve">,</w:t>
      </w:r>
      <w:r>
        <w:t xml:space="preserve"> </w:t>
      </w:r>
      <w:r>
        <w:rPr>
          <w:rStyle w:val="VerbatimChar"/>
        </w:rPr>
        <w:t xml:space="preserve">filas_con_owner_asignado</w:t>
      </w:r>
      <w:r>
        <w:t xml:space="preserve">,</w:t>
      </w:r>
      <w:r>
        <w:t xml:space="preserve"> </w:t>
      </w:r>
      <w:r>
        <w:rPr>
          <w:rStyle w:val="VerbatimChar"/>
        </w:rPr>
        <w:t xml:space="preserve">filas_sin_owner_seguro</w:t>
      </w:r>
      <w:r>
        <w:t xml:space="preserve">,</w:t>
      </w:r>
      <w:r>
        <w:t xml:space="preserve"> </w:t>
      </w:r>
      <w:r>
        <w:rPr>
          <w:rStyle w:val="VerbatimChar"/>
        </w:rPr>
        <w:t xml:space="preserve">ratio_ADR_repetido</w:t>
      </w:r>
      <w:r>
        <w:t xml:space="preserve">,</w:t>
      </w:r>
      <w:r>
        <w:t xml:space="preserve"> </w:t>
      </w:r>
      <w:r>
        <w:rPr>
          <w:rStyle w:val="VerbatimChar"/>
        </w:rPr>
        <w:t xml:space="preserve">ratio_QCNT_eq_UDS</w:t>
      </w:r>
      <w:r>
        <w:t xml:space="preserve">,</w:t>
      </w:r>
      <w:r>
        <w:t xml:space="preserve"> </w:t>
      </w:r>
      <w:r>
        <w:rPr>
          <w:rStyle w:val="VerbatimChar"/>
        </w:rPr>
        <w:t xml:space="preserve">conclusion_granularidad</w:t>
      </w:r>
      <w:r>
        <w:t xml:space="preserve">,</w:t>
      </w:r>
      <w:r>
        <w:t xml:space="preserve"> </w:t>
      </w:r>
      <w:r>
        <w:rPr>
          <w:rStyle w:val="VerbatimChar"/>
        </w:rPr>
        <w:t xml:space="preserve">riesgo</w:t>
      </w:r>
    </w:p>
    <w:p>
      <w:pPr>
        <w:numPr>
          <w:ilvl w:val="0"/>
          <w:numId w:val="1033"/>
        </w:numPr>
      </w:pPr>
      <w:r>
        <w:rPr>
          <w:rStyle w:val="VerbatimChar"/>
        </w:rPr>
        <w:t xml:space="preserve">tabla_stock_externo_equivalencias</w:t>
      </w:r>
      <w:r>
        <w:br/>
      </w:r>
      <w:r>
        <w:t xml:space="preserve">Columnas:</w:t>
      </w:r>
      <w:r>
        <w:t xml:space="preserve"> </w:t>
      </w:r>
      <w:r>
        <w:rPr>
          <w:rStyle w:val="VerbatimChar"/>
        </w:rPr>
        <w:t xml:space="preserve">ART</w:t>
      </w:r>
      <w:r>
        <w:t xml:space="preserve">,</w:t>
      </w:r>
      <w:r>
        <w:t xml:space="preserve"> </w:t>
      </w:r>
      <w:r>
        <w:rPr>
          <w:rStyle w:val="VerbatimChar"/>
        </w:rPr>
        <w:t xml:space="preserve">RESERVA</w:t>
      </w:r>
      <w:r>
        <w:t xml:space="preserve">,</w:t>
      </w:r>
      <w:r>
        <w:t xml:space="preserve"> </w:t>
      </w:r>
      <w:r>
        <w:rPr>
          <w:rStyle w:val="VerbatimChar"/>
        </w:rPr>
        <w:t xml:space="preserve">owner_base</w:t>
      </w:r>
      <w:r>
        <w:t xml:space="preserve">,</w:t>
      </w:r>
      <w:r>
        <w:t xml:space="preserve"> </w:t>
      </w:r>
      <w:r>
        <w:rPr>
          <w:rStyle w:val="VerbatimChar"/>
        </w:rPr>
        <w:t xml:space="preserve">UDS</w:t>
      </w:r>
      <w:r>
        <w:t xml:space="preserve">,</w:t>
      </w:r>
      <w:r>
        <w:t xml:space="preserve"> </w:t>
      </w:r>
      <w:r>
        <w:rPr>
          <w:rStyle w:val="VerbatimChar"/>
        </w:rPr>
        <w:t xml:space="preserve">ADR</w:t>
      </w:r>
      <w:r>
        <w:t xml:space="preserve">,</w:t>
      </w:r>
      <w:r>
        <w:t xml:space="preserve"> </w:t>
      </w:r>
      <w:r>
        <w:rPr>
          <w:rStyle w:val="VerbatimChar"/>
        </w:rPr>
        <w:t xml:space="preserve">QCNT</w:t>
      </w:r>
      <w:r>
        <w:t xml:space="preserve">,</w:t>
      </w:r>
      <w:r>
        <w:t xml:space="preserve"> </w:t>
      </w:r>
      <w:r>
        <w:rPr>
          <w:rStyle w:val="VerbatimChar"/>
        </w:rPr>
        <w:t xml:space="preserve">capa_conversion</w:t>
      </w:r>
      <w:r>
        <w:t xml:space="preserve">,</w:t>
      </w:r>
      <w:r>
        <w:t xml:space="preserve"> </w:t>
      </w:r>
      <w:r>
        <w:rPr>
          <w:rStyle w:val="VerbatimChar"/>
        </w:rPr>
        <w:t xml:space="preserve">factor_conversion_usado</w:t>
      </w:r>
      <w:r>
        <w:t xml:space="preserve">,</w:t>
      </w:r>
      <w:r>
        <w:t xml:space="preserve"> </w:t>
      </w:r>
      <w:r>
        <w:rPr>
          <w:rStyle w:val="VerbatimChar"/>
        </w:rPr>
        <w:t xml:space="preserve">tipologia_estimacion</w:t>
      </w:r>
      <w:r>
        <w:t xml:space="preserve">,</w:t>
      </w:r>
      <w:r>
        <w:t xml:space="preserve"> </w:t>
      </w:r>
      <w:r>
        <w:rPr>
          <w:rStyle w:val="VerbatimChar"/>
        </w:rPr>
        <w:t xml:space="preserve">posiciones_estimadas</w:t>
      </w:r>
      <w:r>
        <w:t xml:space="preserve">,</w:t>
      </w:r>
      <w:r>
        <w:t xml:space="preserve"> </w:t>
      </w:r>
      <w:r>
        <w:rPr>
          <w:rStyle w:val="VerbatimChar"/>
        </w:rPr>
        <w:t xml:space="preserve">soporte</w:t>
      </w:r>
    </w:p>
    <w:p>
      <w:pPr>
        <w:numPr>
          <w:ilvl w:val="0"/>
          <w:numId w:val="1033"/>
        </w:numPr>
      </w:pPr>
      <w:r>
        <w:rPr>
          <w:rStyle w:val="VerbatimChar"/>
        </w:rPr>
        <w:t xml:space="preserve">tabla_impacto_stock_externo_propietario</w:t>
      </w:r>
      <w:r>
        <w:br/>
      </w:r>
      <w:r>
        <w:t xml:space="preserve">Columnas:</w:t>
      </w:r>
      <w:r>
        <w:t xml:space="preserve"> </w:t>
      </w:r>
      <w:r>
        <w:rPr>
          <w:rStyle w:val="VerbatimChar"/>
        </w:rPr>
        <w:t xml:space="preserve">propietario</w:t>
      </w:r>
      <w:r>
        <w:t xml:space="preserve">,</w:t>
      </w:r>
      <w:r>
        <w:t xml:space="preserve"> </w:t>
      </w:r>
      <w:r>
        <w:rPr>
          <w:rStyle w:val="VerbatimChar"/>
        </w:rPr>
        <w:t xml:space="preserve">slots_actuales</w:t>
      </w:r>
      <w:r>
        <w:t xml:space="preserve">,</w:t>
      </w:r>
      <w:r>
        <w:t xml:space="preserve"> </w:t>
      </w:r>
      <w:r>
        <w:rPr>
          <w:rStyle w:val="VerbatimChar"/>
        </w:rPr>
        <w:t xml:space="preserve">slots_externos_soportados</w:t>
      </w:r>
      <w:r>
        <w:t xml:space="preserve">,</w:t>
      </w:r>
      <w:r>
        <w:t xml:space="preserve"> </w:t>
      </w:r>
      <w:r>
        <w:rPr>
          <w:rStyle w:val="VerbatimChar"/>
        </w:rPr>
        <w:t xml:space="preserve">slots_externos_inferidos</w:t>
      </w:r>
      <w:r>
        <w:t xml:space="preserve">,</w:t>
      </w:r>
      <w:r>
        <w:t xml:space="preserve"> </w:t>
      </w:r>
      <w:r>
        <w:rPr>
          <w:rStyle w:val="VerbatimChar"/>
        </w:rPr>
        <w:t xml:space="preserve">slots_revision_manual</w:t>
      </w:r>
      <w:r>
        <w:t xml:space="preserve">,</w:t>
      </w:r>
      <w:r>
        <w:t xml:space="preserve"> </w:t>
      </w:r>
      <w:r>
        <w:rPr>
          <w:rStyle w:val="VerbatimChar"/>
        </w:rPr>
        <w:t xml:space="preserve">delta_total</w:t>
      </w:r>
    </w:p>
    <w:p>
      <w:pPr>
        <w:numPr>
          <w:ilvl w:val="0"/>
          <w:numId w:val="1033"/>
        </w:numPr>
      </w:pPr>
      <w:r>
        <w:rPr>
          <w:rStyle w:val="VerbatimChar"/>
        </w:rPr>
        <w:t xml:space="preserve">tabla_propietario_pasillo_recomendado</w:t>
      </w:r>
      <w:r>
        <w:br/>
      </w:r>
      <w:r>
        <w:t xml:space="preserve">Columnas:</w:t>
      </w:r>
      <w:r>
        <w:t xml:space="preserve"> </w:t>
      </w:r>
      <w:r>
        <w:rPr>
          <w:rStyle w:val="VerbatimChar"/>
        </w:rPr>
        <w:t xml:space="preserve">propietario</w:t>
      </w:r>
      <w:r>
        <w:t xml:space="preserve">,</w:t>
      </w:r>
      <w:r>
        <w:t xml:space="preserve"> </w:t>
      </w:r>
      <w:r>
        <w:rPr>
          <w:rStyle w:val="VerbatimChar"/>
        </w:rPr>
        <w:t xml:space="preserve">ranking_operativo</w:t>
      </w:r>
      <w:r>
        <w:t xml:space="preserve">,</w:t>
      </w:r>
      <w:r>
        <w:t xml:space="preserve"> </w:t>
      </w:r>
      <w:r>
        <w:rPr>
          <w:rStyle w:val="VerbatimChar"/>
        </w:rPr>
        <w:t xml:space="preserve">pasillo_principal</w:t>
      </w:r>
      <w:r>
        <w:t xml:space="preserve">,</w:t>
      </w:r>
      <w:r>
        <w:t xml:space="preserve"> </w:t>
      </w:r>
      <w:r>
        <w:rPr>
          <w:rStyle w:val="VerbatimChar"/>
        </w:rPr>
        <w:t xml:space="preserve">pasillo_secundario</w:t>
      </w:r>
      <w:r>
        <w:t xml:space="preserve">,</w:t>
      </w:r>
      <w:r>
        <w:t xml:space="preserve"> </w:t>
      </w:r>
      <w:r>
        <w:rPr>
          <w:rStyle w:val="VerbatimChar"/>
        </w:rPr>
        <w:t xml:space="preserve">tipo_asignacion</w:t>
      </w:r>
      <w:r>
        <w:t xml:space="preserve">,</w:t>
      </w:r>
      <w:r>
        <w:t xml:space="preserve"> </w:t>
      </w:r>
      <w:r>
        <w:rPr>
          <w:rStyle w:val="VerbatimChar"/>
        </w:rPr>
        <w:t xml:space="preserve">justificacion</w:t>
      </w:r>
    </w:p>
    <w:p>
      <w:pPr>
        <w:numPr>
          <w:ilvl w:val="0"/>
          <w:numId w:val="1033"/>
        </w:numPr>
      </w:pPr>
      <w:r>
        <w:rPr>
          <w:rStyle w:val="VerbatimChar"/>
        </w:rPr>
        <w:t xml:space="preserve">tabla_conversiones_infra</w:t>
      </w:r>
      <w:r>
        <w:br/>
      </w:r>
      <w:r>
        <w:t xml:space="preserve">Columnas:</w:t>
      </w:r>
      <w:r>
        <w:t xml:space="preserve"> </w:t>
      </w:r>
      <w:r>
        <w:rPr>
          <w:rStyle w:val="VerbatimChar"/>
        </w:rPr>
        <w:t xml:space="preserve">tipologia</w:t>
      </w:r>
      <w:r>
        <w:t xml:space="preserve">,</w:t>
      </w:r>
      <w:r>
        <w:t xml:space="preserve"> </w:t>
      </w:r>
      <w:r>
        <w:rPr>
          <w:rStyle w:val="VerbatimChar"/>
        </w:rPr>
        <w:t xml:space="preserve">posiciones_visibles_actuales</w:t>
      </w:r>
      <w:r>
        <w:t xml:space="preserve">,</w:t>
      </w:r>
      <w:r>
        <w:t xml:space="preserve"> </w:t>
      </w:r>
      <w:r>
        <w:rPr>
          <w:rStyle w:val="VerbatimChar"/>
        </w:rPr>
        <w:t xml:space="preserve">incremento_externo_soportado</w:t>
      </w:r>
      <w:r>
        <w:t xml:space="preserve">,</w:t>
      </w:r>
      <w:r>
        <w:t xml:space="preserve"> </w:t>
      </w:r>
      <w:r>
        <w:rPr>
          <w:rStyle w:val="VerbatimChar"/>
        </w:rPr>
        <w:t xml:space="preserve">incremento_externo_inferido</w:t>
      </w:r>
      <w:r>
        <w:t xml:space="preserve">,</w:t>
      </w:r>
      <w:r>
        <w:t xml:space="preserve"> </w:t>
      </w:r>
      <w:r>
        <w:rPr>
          <w:rStyle w:val="VerbatimChar"/>
        </w:rPr>
        <w:t xml:space="preserve">modulos_3EU</w:t>
      </w:r>
      <w:r>
        <w:t xml:space="preserve">,</w:t>
      </w:r>
      <w:r>
        <w:t xml:space="preserve"> </w:t>
      </w:r>
      <w:r>
        <w:rPr>
          <w:rStyle w:val="VerbatimChar"/>
        </w:rPr>
        <w:t xml:space="preserve">penaliza_altura_10</w:t>
      </w:r>
      <w:r>
        <w:t xml:space="preserve">,</w:t>
      </w:r>
      <w:r>
        <w:t xml:space="preserve"> </w:t>
      </w:r>
      <w:r>
        <w:rPr>
          <w:rStyle w:val="VerbatimChar"/>
        </w:rPr>
        <w:t xml:space="preserve">impacto_10</w:t>
      </w:r>
    </w:p>
    <w:p>
      <w:pPr>
        <w:numPr>
          <w:ilvl w:val="0"/>
          <w:numId w:val="1033"/>
        </w:numPr>
      </w:pPr>
      <w:r>
        <w:rPr>
          <w:rStyle w:val="VerbatimChar"/>
        </w:rPr>
        <w:t xml:space="preserve">tabla_articulos_conflictivos</w:t>
      </w:r>
      <w:r>
        <w:br/>
      </w:r>
      <w:r>
        <w:t xml:space="preserve">Columnas:</w:t>
      </w:r>
      <w:r>
        <w:t xml:space="preserve"> </w:t>
      </w:r>
      <w:r>
        <w:rPr>
          <w:rStyle w:val="VerbatimChar"/>
        </w:rPr>
        <w:t xml:space="preserve">articulo</w:t>
      </w:r>
      <w:r>
        <w:t xml:space="preserve">,</w:t>
      </w:r>
      <w:r>
        <w:t xml:space="preserve"> </w:t>
      </w:r>
      <w:r>
        <w:rPr>
          <w:rStyle w:val="VerbatimChar"/>
        </w:rPr>
        <w:t xml:space="preserve">propietario</w:t>
      </w:r>
      <w:r>
        <w:t xml:space="preserve">,</w:t>
      </w:r>
      <w:r>
        <w:t xml:space="preserve"> </w:t>
      </w:r>
      <w:r>
        <w:rPr>
          <w:rStyle w:val="VerbatimChar"/>
        </w:rPr>
        <w:t xml:space="preserve">motivo_conflicto</w:t>
      </w:r>
      <w:r>
        <w:t xml:space="preserve">,</w:t>
      </w:r>
      <w:r>
        <w:t xml:space="preserve"> </w:t>
      </w:r>
      <w:r>
        <w:rPr>
          <w:rStyle w:val="VerbatimChar"/>
        </w:rPr>
        <w:t xml:space="preserve">evidencia</w:t>
      </w:r>
      <w:r>
        <w:t xml:space="preserve">,</w:t>
      </w:r>
      <w:r>
        <w:t xml:space="preserve"> </w:t>
      </w:r>
      <w:r>
        <w:rPr>
          <w:rStyle w:val="VerbatimChar"/>
        </w:rPr>
        <w:t xml:space="preserve">accion_recomendada</w:t>
      </w:r>
    </w:p>
    <w:p>
      <w:pPr>
        <w:numPr>
          <w:ilvl w:val="0"/>
          <w:numId w:val="1033"/>
        </w:numPr>
      </w:pPr>
      <w:r>
        <w:rPr>
          <w:rStyle w:val="VerbatimChar"/>
        </w:rPr>
        <w:t xml:space="preserve">tabla_supuestos</w:t>
      </w:r>
      <w:r>
        <w:br/>
      </w:r>
      <w:r>
        <w:t xml:space="preserve">Columnas:</w:t>
      </w:r>
      <w:r>
        <w:t xml:space="preserve"> </w:t>
      </w:r>
      <w:r>
        <w:rPr>
          <w:rStyle w:val="VerbatimChar"/>
        </w:rPr>
        <w:t xml:space="preserve">supuesto</w:t>
      </w:r>
      <w:r>
        <w:t xml:space="preserve">,</w:t>
      </w:r>
      <w:r>
        <w:t xml:space="preserve"> </w:t>
      </w:r>
      <w:r>
        <w:rPr>
          <w:rStyle w:val="VerbatimChar"/>
        </w:rPr>
        <w:t xml:space="preserve">motivo</w:t>
      </w:r>
      <w:r>
        <w:t xml:space="preserve">,</w:t>
      </w:r>
      <w:r>
        <w:t xml:space="preserve"> </w:t>
      </w:r>
      <w:r>
        <w:rPr>
          <w:rStyle w:val="VerbatimChar"/>
        </w:rPr>
        <w:t xml:space="preserve">impacto</w:t>
      </w:r>
      <w:r>
        <w:t xml:space="preserve">,</w:t>
      </w:r>
      <w:r>
        <w:t xml:space="preserve"> </w:t>
      </w:r>
      <w:r>
        <w:rPr>
          <w:rStyle w:val="VerbatimChar"/>
        </w:rPr>
        <w:t xml:space="preserve">sensibilidad</w:t>
      </w:r>
      <w:r>
        <w:t xml:space="preserve">,</w:t>
      </w:r>
      <w:r>
        <w:t xml:space="preserve"> </w:t>
      </w:r>
      <w:r>
        <w:rPr>
          <w:rStyle w:val="VerbatimChar"/>
        </w:rPr>
        <w:t xml:space="preserve">estado</w:t>
      </w:r>
    </w:p>
    <w:p>
      <w:pPr>
        <w:numPr>
          <w:ilvl w:val="0"/>
          <w:numId w:val="1033"/>
        </w:numPr>
      </w:pPr>
      <w:r>
        <w:rPr>
          <w:rStyle w:val="VerbatimChar"/>
        </w:rPr>
        <w:t xml:space="preserve">tabla_escenarios_ocupacion</w:t>
      </w:r>
      <w:r>
        <w:br/>
      </w:r>
      <w:r>
        <w:t xml:space="preserve">Columnas:</w:t>
      </w:r>
      <w:r>
        <w:t xml:space="preserve"> </w:t>
      </w:r>
      <w:r>
        <w:rPr>
          <w:rStyle w:val="VerbatimChar"/>
        </w:rPr>
        <w:t xml:space="preserve">escenario</w:t>
      </w:r>
      <w:r>
        <w:t xml:space="preserve">,</w:t>
      </w:r>
      <w:r>
        <w:t xml:space="preserve"> </w:t>
      </w:r>
      <w:r>
        <w:rPr>
          <w:rStyle w:val="VerbatimChar"/>
        </w:rPr>
        <w:t xml:space="preserve">ocupacion_objetivo</w:t>
      </w:r>
      <w:r>
        <w:t xml:space="preserve">,</w:t>
      </w:r>
      <w:r>
        <w:t xml:space="preserve"> </w:t>
      </w:r>
      <w:r>
        <w:rPr>
          <w:rStyle w:val="VerbatimChar"/>
        </w:rPr>
        <w:t xml:space="preserve">capacidad_util</w:t>
      </w:r>
      <w:r>
        <w:t xml:space="preserve">,</w:t>
      </w:r>
      <w:r>
        <w:t xml:space="preserve"> </w:t>
      </w:r>
      <w:r>
        <w:rPr>
          <w:rStyle w:val="VerbatimChar"/>
        </w:rPr>
        <w:t xml:space="preserve">demanda_actual</w:t>
      </w:r>
      <w:r>
        <w:t xml:space="preserve">,</w:t>
      </w:r>
      <w:r>
        <w:t xml:space="preserve"> </w:t>
      </w:r>
      <w:r>
        <w:rPr>
          <w:rStyle w:val="VerbatimChar"/>
        </w:rPr>
        <w:t xml:space="preserve">demanda_con_externo_soportado</w:t>
      </w:r>
      <w:r>
        <w:t xml:space="preserve">,</w:t>
      </w:r>
      <w:r>
        <w:t xml:space="preserve"> </w:t>
      </w:r>
      <w:r>
        <w:rPr>
          <w:rStyle w:val="VerbatimChar"/>
        </w:rPr>
        <w:t xml:space="preserve">demanda_con_externo_total</w:t>
      </w:r>
      <w:r>
        <w:t xml:space="preserve">,</w:t>
      </w:r>
      <w:r>
        <w:t xml:space="preserve"> </w:t>
      </w:r>
      <w:r>
        <w:rPr>
          <w:rStyle w:val="VerbatimChar"/>
        </w:rPr>
        <w:t xml:space="preserve">margen</w:t>
      </w:r>
    </w:p>
    <w:p>
      <w:pPr>
        <w:numPr>
          <w:ilvl w:val="0"/>
          <w:numId w:val="1033"/>
        </w:numPr>
      </w:pPr>
      <w:r>
        <w:rPr>
          <w:rStyle w:val="VerbatimChar"/>
        </w:rPr>
        <w:t xml:space="preserve">tabla_validacion_capacidad_destino</w:t>
      </w:r>
      <w:r>
        <w:br/>
      </w:r>
      <w:r>
        <w:t xml:space="preserve">Columnas:</w:t>
      </w:r>
      <w:r>
        <w:t xml:space="preserve"> </w:t>
      </w:r>
      <w:r>
        <w:rPr>
          <w:rStyle w:val="VerbatimChar"/>
        </w:rPr>
        <w:t xml:space="preserve">capacidad_teorica_total</w:t>
      </w:r>
      <w:r>
        <w:t xml:space="preserve">,</w:t>
      </w:r>
      <w:r>
        <w:t xml:space="preserve"> </w:t>
      </w:r>
      <w:r>
        <w:rPr>
          <w:rStyle w:val="VerbatimChar"/>
        </w:rPr>
        <w:t xml:space="preserve">penalizacion_10</w:t>
      </w:r>
      <w:r>
        <w:t xml:space="preserve">,</w:t>
      </w:r>
      <w:r>
        <w:t xml:space="preserve"> </w:t>
      </w:r>
      <w:r>
        <w:rPr>
          <w:rStyle w:val="VerbatimChar"/>
        </w:rPr>
        <w:t xml:space="preserve">capacidad_estandar_resultante</w:t>
      </w:r>
      <w:r>
        <w:t xml:space="preserve">,</w:t>
      </w:r>
      <w:r>
        <w:t xml:space="preserve"> </w:t>
      </w:r>
      <w:r>
        <w:rPr>
          <w:rStyle w:val="VerbatimChar"/>
        </w:rPr>
        <w:t xml:space="preserve">capacidad_especial</w:t>
      </w:r>
      <w:r>
        <w:t xml:space="preserve">,</w:t>
      </w:r>
      <w:r>
        <w:t xml:space="preserve"> </w:t>
      </w:r>
      <w:r>
        <w:rPr>
          <w:rStyle w:val="VerbatimChar"/>
        </w:rPr>
        <w:t xml:space="preserve">demanda_total</w:t>
      </w:r>
      <w:r>
        <w:t xml:space="preserve">,</w:t>
      </w:r>
      <w:r>
        <w:t xml:space="preserve"> </w:t>
      </w:r>
      <w:r>
        <w:rPr>
          <w:rStyle w:val="VerbatimChar"/>
        </w:rPr>
        <w:t xml:space="preserve">cabe</w:t>
      </w:r>
      <w:r>
        <w:t xml:space="preserve">,</w:t>
      </w:r>
      <w:r>
        <w:t xml:space="preserve"> </w:t>
      </w:r>
      <w:r>
        <w:rPr>
          <w:rStyle w:val="VerbatimChar"/>
        </w:rPr>
        <w:t xml:space="preserve">observacion</w:t>
      </w:r>
    </w:p>
    <w:bookmarkEnd w:id="56"/>
    <w:bookmarkStart w:id="57" w:name="visuales-exactos-que-codex-debe-generar"/>
    <w:p>
      <w:pPr>
        <w:pStyle w:val="Heading3"/>
      </w:pPr>
      <w:r>
        <w:t xml:space="preserve">Visuales exactos que Codex debe generar</w:t>
      </w:r>
    </w:p>
    <w:p>
      <w:pPr>
        <w:pStyle w:val="Compact"/>
        <w:numPr>
          <w:ilvl w:val="0"/>
          <w:numId w:val="1034"/>
        </w:numPr>
      </w:pPr>
      <w:r>
        <w:t xml:space="preserve">heatmap de ocupación por pasillo y tipo de hueco</w:t>
      </w:r>
    </w:p>
    <w:p>
      <w:pPr>
        <w:pStyle w:val="Compact"/>
        <w:numPr>
          <w:ilvl w:val="0"/>
          <w:numId w:val="1034"/>
        </w:numPr>
      </w:pPr>
      <w:r>
        <w:t xml:space="preserve">matriz propietario x pasillo</w:t>
      </w:r>
    </w:p>
    <w:p>
      <w:pPr>
        <w:pStyle w:val="Compact"/>
        <w:numPr>
          <w:ilvl w:val="0"/>
          <w:numId w:val="1034"/>
        </w:numPr>
      </w:pPr>
      <w:r>
        <w:t xml:space="preserve">ranking combinado de propietarios por prioridad operativa</w:t>
      </w:r>
    </w:p>
    <w:p>
      <w:pPr>
        <w:pStyle w:val="Compact"/>
        <w:numPr>
          <w:ilvl w:val="0"/>
          <w:numId w:val="1034"/>
        </w:numPr>
      </w:pPr>
      <w:r>
        <w:t xml:space="preserve">waterfall de capacidad actual vs capacidad recomendada</w:t>
      </w:r>
    </w:p>
    <w:p>
      <w:pPr>
        <w:pStyle w:val="Compact"/>
        <w:numPr>
          <w:ilvl w:val="0"/>
          <w:numId w:val="1034"/>
        </w:numPr>
      </w:pPr>
      <w:r>
        <w:t xml:space="preserve">waterfall de capacidad sin stock externo vs con stock externo</w:t>
      </w:r>
    </w:p>
    <w:p>
      <w:pPr>
        <w:pStyle w:val="Compact"/>
        <w:numPr>
          <w:ilvl w:val="0"/>
          <w:numId w:val="1034"/>
        </w:numPr>
      </w:pPr>
      <w:r>
        <w:t xml:space="preserve">gráfico de módulos a convertir por tipología</w:t>
      </w:r>
    </w:p>
    <w:p>
      <w:pPr>
        <w:pStyle w:val="Compact"/>
        <w:numPr>
          <w:ilvl w:val="0"/>
          <w:numId w:val="1034"/>
        </w:numPr>
      </w:pPr>
      <w:r>
        <w:t xml:space="preserve">layout lógico simplificado por pasillo</w:t>
      </w:r>
    </w:p>
    <w:p>
      <w:pPr>
        <w:pStyle w:val="Compact"/>
        <w:numPr>
          <w:ilvl w:val="0"/>
          <w:numId w:val="1034"/>
        </w:numPr>
      </w:pPr>
      <w:r>
        <w:t xml:space="preserve">gráfico de sensibilidad 85/90/95</w:t>
      </w:r>
    </w:p>
    <w:p>
      <w:pPr>
        <w:pStyle w:val="Compact"/>
        <w:numPr>
          <w:ilvl w:val="0"/>
          <w:numId w:val="1034"/>
        </w:numPr>
      </w:pPr>
      <w:r>
        <w:t xml:space="preserve">mapa de propietarios cerca/lejos de expedición</w:t>
      </w:r>
    </w:p>
    <w:p>
      <w:pPr>
        <w:pStyle w:val="Compact"/>
        <w:numPr>
          <w:ilvl w:val="0"/>
          <w:numId w:val="1034"/>
        </w:numPr>
      </w:pPr>
      <w:r>
        <w:t xml:space="preserve">gráfico de capacidad máxima destino vs capacidad consumida</w:t>
      </w:r>
    </w:p>
    <w:p>
      <w:pPr>
        <w:pStyle w:val="Compact"/>
        <w:numPr>
          <w:ilvl w:val="0"/>
          <w:numId w:val="1034"/>
        </w:numPr>
      </w:pPr>
      <w:r>
        <w:t xml:space="preserve">gráfico del impacto incremental del stock externo por propietario</w:t>
      </w:r>
    </w:p>
    <w:p>
      <w:pPr>
        <w:pStyle w:val="Compact"/>
        <w:numPr>
          <w:ilvl w:val="0"/>
          <w:numId w:val="1034"/>
        </w:numPr>
      </w:pPr>
      <w:r>
        <w:t xml:space="preserve">gráfico de cobertura: match directo vs inferencia vs revisión manual</w:t>
      </w:r>
    </w:p>
    <w:bookmarkEnd w:id="57"/>
    <w:bookmarkStart w:id="58" w:name="X2b61e001c92986cd29d6c870c66fc48be2b57cf"/>
    <w:p>
      <w:pPr>
        <w:pStyle w:val="Heading3"/>
      </w:pPr>
      <w:r>
        <w:t xml:space="preserve">Requisitos de salida que Codex debe respetar</w:t>
      </w:r>
    </w:p>
    <w:p>
      <w:pPr>
        <w:pStyle w:val="Compact"/>
        <w:numPr>
          <w:ilvl w:val="0"/>
          <w:numId w:val="1035"/>
        </w:numPr>
      </w:pPr>
      <w:r>
        <w:t xml:space="preserve">no inventar distancias</w:t>
      </w:r>
    </w:p>
    <w:p>
      <w:pPr>
        <w:pStyle w:val="Compact"/>
        <w:numPr>
          <w:ilvl w:val="0"/>
          <w:numId w:val="1035"/>
        </w:numPr>
      </w:pPr>
      <w:r>
        <w:t xml:space="preserve">no cerrar cifras del stock externo sin mostrar soporte de conversión</w:t>
      </w:r>
    </w:p>
    <w:p>
      <w:pPr>
        <w:pStyle w:val="Compact"/>
        <w:numPr>
          <w:ilvl w:val="0"/>
          <w:numId w:val="1035"/>
        </w:numPr>
      </w:pPr>
      <w:r>
        <w:t xml:space="preserve">separar siempre hecho, inferencia y supuesto</w:t>
      </w:r>
    </w:p>
    <w:p>
      <w:pPr>
        <w:pStyle w:val="Compact"/>
        <w:numPr>
          <w:ilvl w:val="0"/>
          <w:numId w:val="1035"/>
        </w:numPr>
      </w:pPr>
      <w:r>
        <w:t xml:space="preserve">no reutilizar cifras del estudio previo si no se recalculan</w:t>
      </w:r>
    </w:p>
    <w:p>
      <w:pPr>
        <w:pStyle w:val="Compact"/>
        <w:numPr>
          <w:ilvl w:val="0"/>
          <w:numId w:val="1035"/>
        </w:numPr>
      </w:pPr>
      <w:r>
        <w:t xml:space="preserve">si genera layouts alternativos, compararlos y escoger uno</w:t>
      </w:r>
    </w:p>
    <w:p>
      <w:pPr>
        <w:pStyle w:val="Compact"/>
        <w:numPr>
          <w:ilvl w:val="0"/>
          <w:numId w:val="1035"/>
        </w:numPr>
      </w:pPr>
      <w:r>
        <w:t xml:space="preserve">dejar explícito qué parte es decisión-grade y qué parte no</w:t>
      </w:r>
    </w:p>
    <w:p>
      <w:pPr>
        <w:pStyle w:val="FirstParagraph"/>
      </w:pPr>
      <w:r>
        <w:t xml:space="preserve">Recomendación ejecutiva final</w:t>
      </w:r>
    </w:p>
    <w:p>
      <w:pPr>
        <w:pStyle w:val="BodyText"/>
      </w:pPr>
      <w:r>
        <w:t xml:space="preserve">Qué haría yo mañana si tuviera que mover el almacén</w:t>
      </w:r>
    </w:p>
    <w:p>
      <w:pPr>
        <w:pStyle w:val="BodyText"/>
      </w:pPr>
      <w:r>
        <w:t xml:space="preserve">Qué dato faltante puede cambiar más esta solución</w:t>
      </w:r>
    </w:p>
    <w:bookmarkEnd w:id="58"/>
    <w:bookmarkEnd w:id="59"/>
    <w:bookmarkEnd w:id="60"/>
    <w:bookmarkEnd w:id="6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r>
        <w:t xml:space="preserve">README.md</w:t>
      </w:r>
    </w:p>
    <w:p>
      <w:pPr>
        <w:pStyle w:val="BodyText"/>
      </w:pPr>
      <w:hyperlink r:id="rId21">
        <w:r>
          <w:rPr>
            <w:rStyle w:val="Hyperlink"/>
          </w:rPr>
          <w:t xml:space="preserve">https://github.com/rdiezlla/market_basket/blob/af586813c3bd7fbc3527d7b5a617902880d27460/README.md</w:t>
        </w:r>
      </w:hyperlink>
    </w:p>
    <w:p>
      <w:pPr>
        <w:pStyle w:val="BodyText"/>
      </w:pPr>
      <w:hyperlink r:id="rId22">
        <w:r>
          <w:rPr>
            <w:rStyle w:val="Hyperlink"/>
          </w:rPr>
          <w:t xml:space="preserve">[2]</w:t>
        </w:r>
      </w:hyperlink>
      <w:r>
        <w:t xml:space="preserve"> </w:t>
      </w:r>
      <w:r>
        <w:t xml:space="preserve">metadata_modelo.json</w:t>
      </w:r>
    </w:p>
    <w:p>
      <w:pPr>
        <w:pStyle w:val="BodyText"/>
      </w:pPr>
      <w:hyperlink r:id="rId22">
        <w:r>
          <w:rPr>
            <w:rStyle w:val="Hyperlink"/>
          </w:rPr>
          <w:t xml:space="preserve">https://github.com/rdiezlla/market_basket/blob/af586813c3bd7fbc3527d7b5a617902880d27460/output/metadata_modelo.json</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rdiezlla/market_basket/blob/af586813c3bd7fbc3527d7b5a617902880d27460/README.md" TargetMode="External" /><Relationship Type="http://schemas.openxmlformats.org/officeDocument/2006/relationships/hyperlink" Id="rId22" Target="https://github.com/rdiezlla/market_basket/blob/af586813c3bd7fbc3527d7b5a617902880d27460/output/metadata_modelo.json"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rdiezlla/market_basket/blob/af586813c3bd7fbc3527d7b5a617902880d27460/README.md" TargetMode="External" /><Relationship Type="http://schemas.openxmlformats.org/officeDocument/2006/relationships/hyperlink" Id="rId22" Target="https://github.com/rdiezlla/market_basket/blob/af586813c3bd7fbc3527d7b5a617902880d27460/output/metadata_modelo.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2026-04-19T19:10:47Z</dcterms:created>
  <dcterms:modified xsi:type="dcterms:W3CDTF">2026-04-19T19:10:47Z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