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Planning Database with 2010 Census and 2006 – 2010 American Community Survey Data</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At the Block Group Level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Statement of Purpose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Block-Group Level Planning Database with 2010 Census and 2006 – 2010 American Community Survey Data (also called the PDB) is a database that assembles a range of housing, demographic, and socioeconomic, and census operational data.  The PDB variables have been extracted from census and American Community Survey (ACS) databases and summarized for all block groups in the country.  This database will be updated annually and made available to both internal and external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planning database containing data from the 2000 decennial census was made available at the tract level, and that earlier database was used during the 2010 decennial census to plan for field and mail activities.  This newer version was created to be used for similar operational functions, as well as to be investigated for research purposes.  The database can be used in many ways, including the following:</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areas where special outreach and promotion efforts could be considered</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Linking spatial map data files to create thematic maps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Generating reports, cross tabulations, and simple analyses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Planning recruitment activities by Regional Census Centers, and Local Census Offices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Limitations of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2010 PDB is based on Census 2010 geographical boundaries.  Data contained in the PDB are subject to nonsampling error.  In addition, the ACS data are also subject to sampling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Description of Variables in the 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contains descriptions of all variables in the PDB.  More details for these variables are available in additional documentation for the source material.  For decennial data, Appendices A and B of the </w:t>
      </w:r>
      <w:r>
        <w:rPr>
          <w:rFonts w:ascii="Calibri" w:hAnsi="Calibri" w:cs="Calibri" w:eastAsia="Calibri"/>
          <w:i/>
          <w:color w:val="auto"/>
          <w:spacing w:val="0"/>
          <w:position w:val="0"/>
          <w:sz w:val="22"/>
          <w:shd w:fill="auto" w:val="clear"/>
        </w:rPr>
        <w:t xml:space="preserve">2010 Census Summary File 2 Technical Documentation</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http://www.census.gov/prod/cen2010/doc/sf2.pdf</w:t>
        </w:r>
      </w:hyperlink>
      <w:r>
        <w:rPr>
          <w:rFonts w:ascii="Calibri" w:hAnsi="Calibri" w:cs="Calibri" w:eastAsia="Calibri"/>
          <w:color w:val="auto"/>
          <w:spacing w:val="0"/>
          <w:position w:val="0"/>
          <w:sz w:val="22"/>
          <w:shd w:fill="auto" w:val="clear"/>
        </w:rPr>
        <w:t xml:space="preserve">) are useful, and for ACS data, the </w:t>
      </w:r>
      <w:r>
        <w:rPr>
          <w:rFonts w:ascii="Calibri" w:hAnsi="Calibri" w:cs="Calibri" w:eastAsia="Calibri"/>
          <w:i/>
          <w:color w:val="auto"/>
          <w:spacing w:val="0"/>
          <w:position w:val="0"/>
          <w:sz w:val="22"/>
          <w:shd w:fill="auto" w:val="clear"/>
        </w:rPr>
        <w:t xml:space="preserve">American Community Survey and Puerto Rico Community Survey 2010 Subject Definitions</w:t>
      </w:r>
      <w:r>
        <w:rPr>
          <w:rFonts w:ascii="Calibri" w:hAnsi="Calibri" w:cs="Calibri" w:eastAsia="Calibri"/>
          <w:color w:val="auto"/>
          <w:spacing w:val="0"/>
          <w:position w:val="0"/>
          <w:sz w:val="22"/>
          <w:shd w:fill="auto" w:val="clear"/>
        </w:rPr>
        <w:t xml:space="preserv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http://www.census.gov/acs/www/Downloads/data_documentation/SubjectDefinitions/2010_ACSSubjectDefinitions.pdf</w:t>
        </w:r>
      </w:hyperlink>
      <w:r>
        <w:rPr>
          <w:rFonts w:ascii="Calibri" w:hAnsi="Calibri" w:cs="Calibri" w:eastAsia="Calibri"/>
          <w:color w:val="auto"/>
          <w:spacing w:val="0"/>
          <w:position w:val="0"/>
          <w:sz w:val="22"/>
          <w:shd w:fill="auto" w:val="clear"/>
        </w:rPr>
        <w:t xml:space="preserve">) is useful.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PDB contains one record per block group.  The variables are primarily presented as counts.  Because many users will be interested in percentages, the appropriate total counts to be used as denominators when calculating percentages are noted.  Selected median values are also provided.  Except where noted, counts enable the end user to aggregate the data to the tract level – or to higher units of geography.  When aggregating to higher geographies, the user should be aware that block groups with missing values may not be represented in the resulting summary.  Median household income and median house value are provided for the block group and for the tract in which the block group is located.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variables in which both census and ACS estimates are available, both are provided.  Since the PDB will be updated annually, the ACS estimates will show estimated change in these variables since 2010 as the decade progresses.  ACS estimates always appear with the margin of error (MOE) associated with the estimate.  Please see Appendix A of this document for more information about calculating MOEs when aggregating estimates.  The 2006 – 2010 ACS 5-year estimates are based on data collected between January 2006 and December 2010.  They represent average characteristics over the 5-year period, and thus have larger sample size than 1-year ACS estimates but are less current than 1-year ACS estimates.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 groups deemed inhabitable are indicated with the Flag variable.  These block groups have a zero census population but, due to the nature of the ACS estimates, may contain ACS population estimates.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 of all variables are indicated; “2010 Census” refers to data items from the 2010 decennial census, “ACS” refers to ACS data items asked of the persons and housing units in the 2006 to 2010 ACS samples, and “Census geography” refers to the basic geographic data associated with the items.  The database layout and description of each variable for tracts are as follows: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677"/>
        <w:gridCol w:w="4064"/>
        <w:gridCol w:w="2255"/>
        <w:gridCol w:w="7081"/>
        <w:gridCol w:w="1392"/>
        <w:gridCol w:w="1269"/>
        <w:gridCol w:w="1868"/>
      </w:tblGrid>
      <w:tr>
        <w:trPr>
          <w:trHeight w:val="600" w:hRule="auto"/>
          <w:jc w:val="left"/>
          <w:cantSplit w:val="1"/>
        </w:trPr>
        <w:tc>
          <w:tcPr>
            <w:tcW w:w="677" w:type="dxa"/>
            <w:tcBorders>
              <w:top w:val="single" w:color="000000" w:sz="4"/>
              <w:left w:val="single" w:color="000000" w:sz="4"/>
              <w:bottom w:val="single" w:color="000000" w:sz="4"/>
              <w:right w:val="single" w:color="000000" w:sz="4"/>
            </w:tcBorders>
            <w:shd w:color="000000"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Var. #</w:t>
            </w:r>
          </w:p>
        </w:tc>
        <w:tc>
          <w:tcPr>
            <w:tcW w:w="4064" w:type="dxa"/>
            <w:tcBorders>
              <w:top w:val="single" w:color="000000" w:sz="4"/>
              <w:left w:val="single" w:color="000000" w:sz="0"/>
              <w:bottom w:val="single" w:color="000000" w:sz="4"/>
              <w:right w:val="single" w:color="000000" w:sz="4"/>
            </w:tcBorders>
            <w:shd w:color="000000"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Variable Name</w:t>
            </w:r>
          </w:p>
        </w:tc>
        <w:tc>
          <w:tcPr>
            <w:tcW w:w="2255" w:type="dxa"/>
            <w:tcBorders>
              <w:top w:val="single" w:color="000000" w:sz="4"/>
              <w:left w:val="single" w:color="000000" w:sz="0"/>
              <w:bottom w:val="single" w:color="000000" w:sz="4"/>
              <w:right w:val="single" w:color="000000" w:sz="4"/>
            </w:tcBorders>
            <w:shd w:color="000000"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Label</w:t>
            </w:r>
          </w:p>
        </w:tc>
        <w:tc>
          <w:tcPr>
            <w:tcW w:w="7081" w:type="dxa"/>
            <w:tcBorders>
              <w:top w:val="single" w:color="000000" w:sz="4"/>
              <w:left w:val="single" w:color="000000" w:sz="0"/>
              <w:bottom w:val="single" w:color="000000" w:sz="4"/>
              <w:right w:val="single" w:color="000000" w:sz="4"/>
            </w:tcBorders>
            <w:shd w:color="000000"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Definitions</w:t>
            </w:r>
          </w:p>
        </w:tc>
        <w:tc>
          <w:tcPr>
            <w:tcW w:w="1392" w:type="dxa"/>
            <w:tcBorders>
              <w:top w:val="single" w:color="000000" w:sz="4"/>
              <w:left w:val="single" w:color="000000" w:sz="0"/>
              <w:bottom w:val="single" w:color="000000" w:sz="4"/>
              <w:right w:val="single" w:color="000000" w:sz="4"/>
            </w:tcBorders>
            <w:shd w:color="000000"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Unit Level</w:t>
            </w:r>
          </w:p>
        </w:tc>
        <w:tc>
          <w:tcPr>
            <w:tcW w:w="1269" w:type="dxa"/>
            <w:tcBorders>
              <w:top w:val="single" w:color="000000" w:sz="4"/>
              <w:left w:val="single" w:color="000000" w:sz="0"/>
              <w:bottom w:val="single" w:color="000000" w:sz="4"/>
              <w:right w:val="single" w:color="000000" w:sz="4"/>
            </w:tcBorders>
            <w:shd w:color="000000"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Source</w:t>
            </w:r>
          </w:p>
        </w:tc>
        <w:tc>
          <w:tcPr>
            <w:tcW w:w="1868" w:type="dxa"/>
            <w:tcBorders>
              <w:top w:val="single" w:color="000000" w:sz="4"/>
              <w:left w:val="single" w:color="000000" w:sz="0"/>
              <w:bottom w:val="single" w:color="000000" w:sz="4"/>
              <w:right w:val="single" w:color="000000" w:sz="4"/>
            </w:tcBorders>
            <w:shd w:color="000000" w:fill="dbe5f1"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Denominator note</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 </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GEOGRAPHY VARIABLES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 </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15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GidBG</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State/County/Tract/BG - A 12 digit code. The first two digits denote State, the next three digits denote County, the next six digits denote Tract, and the last digit denotes Block Group.</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State/County/Tract/BG - A 12 digit code. The first two digits denote State, the next three digits denote County, the next six digits denote Tract, and the last digit denotes Block Group.</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Census geography</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State</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State (FIPS Code) - 2-digit code</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FIPS code of state (primary governmental division of the U.S.) or statisically equivalent entity (Puerto Rico, D.C., American Samoa, Commonwealth of Northern Mariana Islands, Guam, U.S. Virgin Islands)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Census geography</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w:t>
            </w:r>
          </w:p>
        </w:tc>
        <w:tc>
          <w:tcPr>
            <w:tcW w:w="406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State_Name</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State Name</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Name of State or statisically equivalent entity (Puerto Rico, D.C., American Samoa, Commonwealth of Northern Mariana Islands, Guam, U.S. Virgin Islands)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Census geography</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County</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County (FIPS Code) - 3-digit code</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FIPS code of county (primary legal division of a state) or statistically equivalent entity</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Census geography</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c>
          <w:tcPr>
            <w:tcW w:w="406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County_Name</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ST-CO-Name</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Name of County or statistically equivalent entity</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Census geography</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w:t>
            </w:r>
          </w:p>
        </w:tc>
        <w:tc>
          <w:tcPr>
            <w:tcW w:w="406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Tract</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Census Tract - 6-digit code</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Subdivision of a County or statistically equivalent entity (0 to over 25,000 people per Tract with an average size of 4,200)</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Census geography</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w:t>
            </w:r>
          </w:p>
        </w:tc>
        <w:tc>
          <w:tcPr>
            <w:tcW w:w="406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Block_Group</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Census Block Group - 1 digit code</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Group of Blocks within the same Census Tract (0 to over 25,000 people per Block Group with an average size of 1,400)</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Census geography</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w:t>
            </w:r>
          </w:p>
        </w:tc>
        <w:tc>
          <w:tcPr>
            <w:tcW w:w="406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Flag</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 Group area with block group code 0 (zero), representing areas that are not habitable</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a Block Group contains only uninhabitable land, this variable is filled.  Otherwise, this variable is blank.</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Census geography</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w:t>
            </w:r>
          </w:p>
        </w:tc>
        <w:tc>
          <w:tcPr>
            <w:tcW w:w="406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LAND_AREA</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Land area (sq.mi.)</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Land area of geographical entity in square miles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Census geography</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12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w:t>
            </w:r>
          </w:p>
        </w:tc>
        <w:tc>
          <w:tcPr>
            <w:tcW w:w="4064" w:type="dxa"/>
            <w:tcBorders>
              <w:top w:val="single" w:color="000000" w:sz="0"/>
              <w:left w:val="single" w:color="000000" w:sz="0"/>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AIAN_LAND</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 Group land area is located on any part of an American Indian, Alaska Native, or Native Hawaiian area</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the Block Group land area is located on any part of an American Indian, Alaska Native, or Native Hawaiian area, then this variable has a value of 1.  Otherwise, this variable has a value of 0.</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Census geography</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URBANIZED_AREA_POP_CEN_2010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Population living in Area defined as an Urbanized Area (50,000 or greater)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Population living in a densely settled area containing 50,000 or more people</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URBAN_CLUSTER_POP_CEN_2010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Population living in Area defined as an Urban Cluster Area (2,500-49,999)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Population living in a densely settled area containing 2,500 to 49,999 people</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13</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RURAL_POP_CEN_2010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Population living in Area outside of an Urban Area or Urban Cluster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Population living outside of an Urbanized Area or Urban Cluster</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 </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POPULATION VARIABLES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 </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14</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Tot_Population_CEN_2010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population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 resident population includes everyone whose usual place of residence was in the block group at the time of the 2010 Census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15</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Tot_Population_ACS_06_10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Population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 resident population includes everyone who meets the ACS residence rules in the block group at the time of the ACS interview</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Tot_Population_ACSMOE_06_10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Total Population</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Total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17</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Males_CEN_2010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Males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Males in 2010 Census Total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18</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Males_ACS_06_10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Males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Males in ACS Total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19</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Males_ACSMOE_06_10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Number of Males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Number of Males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Females_Cen_2010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Females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Females in 2010 Census Total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Females_ACS_06_10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Females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Females in ACS Total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22</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Females_ACSMOE_06_10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Number of Females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Number of Females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23</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Pop_under_5_Cen_2010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Persons less than age 5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persons under age 5 as of April 1, 2010</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24</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Pop_under_5_ACS_06_10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Persons less than age 5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persons under age 5 at the time of the ACS interview</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25</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Pop_under_5_ACSMOE_06_10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Persons less than age 5</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Persons less than age 5</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26</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Pop_5_17_Cen_2010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Persons ages 5 to 17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persons ages 5 to 17 as of April 1, 2010</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27</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Pop_5_17_ACS_06_10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Persons ages 5 to 17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persons ages 5 to 17 at the time of the ACS interview</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28</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Pop_5_17_ACSMOE_06_10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Persons ages 5 to 17</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Persons ages 5 to 17</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29</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Pop_18_24_Cen_2010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Persons ages 18 to 24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persons ages 18 to 24 as of April 1, 2010</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30</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Pop_18_24_ACS_06_10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Persons ages 18 to 24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persons ages 18 to 24 at the time of the ACS interview</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Pop_18_24_ACSMOE_06_10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Persons ages 18 to 24</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Persons ages 18 to 24</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32</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Pop_25_44_Cen_2010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Persons ages 25 to 44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persons ages 25 to 44 as of April 1, 2010</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33</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Pop_25_44_ACS_06_10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Persons ages 25 to 44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persons ages 25 to 44 at the time of the ACS interview</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34</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Pop_25_44_ACSMOE_06_10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Persons ages 25 to 44</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Persons ages 25 to 44</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35</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Pop_45_64_Cen_2010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Persons ages 45 to 64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persons ages 45 to 64 as of April 1, 2010</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36</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Pop_45_64_ACS_06_10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Persons ages 45 to 64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persons ages 45 to 64 at the time of the ACS interview</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37</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Pop_45_64_ACSMOE_06_10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Persons ages 45 to 64</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Persons ages 45 to 64</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38</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Pop_65plus_Cen_2010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Persons ages 65 and over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persons age 65 and over as of April 1, 2010</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39</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Pop_65plus_ACS_06_10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Persons ages 65 and over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persons age 65 and over at the time of the ACS interview</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40</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Pop_65plus_ACSMOE_06_10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Persons ages 65 and over</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Persons ages 65 and over</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Tot_GQ_Cen_2010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Group Quarters Population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living or staying in a group living arrangement owned by an entity providing housing to residents, who are usually unrelated, as of April 1, 2010</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42</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Inst_GQ_Cen_2010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Institutional Group Quarters Population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those in group quarters primarily ineligible, unable, or unlikely to participate in labor force while residents.  Institutional group quarters include correctional facilities for adults, juvenile facilities, nursing facilities, and other institutional facilities.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43</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Non_Inst_GQ_Cen_2010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Non-Institutional Group Quarters Population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those in group quarters primarily eligible, able, or likely to participate in labor force while residents.  Noninstitutional group quarters include college/university student housing, military quarters, and other noninstitutional facilities. </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44</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Hispanic_Cen_2010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Hispanic Origin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who identify as "Mexican", "Puerto Rican", "Cuban", or "another Hispanic, Latino, or Spanish origin" in the 2010 Census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45</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Hispanic_ACS_06_10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Hispanic Origin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who identify as "Mexican", "Puerto Rican", "Cuban", or "another Hispanic, Latino, or Spanish origin" in the ACS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46</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Hispanic_ACSMOE_06_10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Hispanic Origin Population</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Hispanic Origin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47</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NH_White_alone_Cen_2010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Non_Hisp White only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who indicate no Hispanic origin and their only race as "White" or report entries such as Irish, German, Italian, Lebanese, Arab, Moroccan, or Caucasian in the 2010 Census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48</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NH_White_alone_ACS_06_10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Non_Hisp White only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who indicate no Hispanic origin and their only race as "White" or report entries such as Irish, German, Italian, Lebanese, Arab, Moroccan, or Caucasian in the ACS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49</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NH_White_alone_ACSMOE_06_10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Non-Hisp White only</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Non-Hispanic White only</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50</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NH_Blk_alone_Cen_2010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Non_Hisp Black or African American only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who indicate no Hispanic origin and their only race as "Black, African Am., or Negro" or report entries such as African American, Kenyan, Nigerian, or Haitian in the 2010 Census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NH_Blk_alone_ACS_06_10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Non_Hisp Black or African American only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who indicate no Hispanic origin and their only race as "Black, African Am., or Negro" or report entries such as African American, Kenyan, Nigerian, or Haitian in the ACS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52</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NH_Blk_alone_ACSMOE_06_10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Non-Hisp Black or African American only</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Non-Hispanic Black or African-American only</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53</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NH_AIAN_alone_Cen_2010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Non-Hisp American Indian and Alaska Native only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who indicate no Hispanic origin and their only race as "American Indian or Alaska Native" or report entries such as Navajo, Blackfeet, Inupiat, Yup'ik, or Central/South American Indian groups in the 2010 Census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54</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NH_AIAN_alone_ACS_06_10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Non-Hisp American Indian and Alaska Native only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who indicate no Hispanic origin and their only race as "American Indian or Alaska Native" or report entries such as Navajo, Blackfeet, Inupiat, Yup'ik, or Central/South American Indian groups in the ACS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55</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NH_AIAN_alone_ACSMOE_06_10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Non-Hisp American Indian and Alaska Native only</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Non-Hispanic American Indian and Alaska Native only</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56</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NH_Asian_alone_Cen_2010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Non-Hisp Asian only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who indicate no Hispanic origin and their only race as "Asian Indian", "Chinese", "Filipino", "Korean", "Japanese", "Vietnamese", or "Other Asian" in the 2010 Census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57</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NH_Asian_alone_ACS_06_10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Non-Hisp Asian only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who indicate no Hispanic origin and their only race as "Asian Indian", "Chinese", "Filipino", "Korean", "Japanese", "Vietnamese", or "Other Asian" in the ACS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58</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NH_Asian_alone_ACSMOE_06_10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Non-Hisp Asian only</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Non-Hispanic Asian only</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59</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NH_NHOPI_alone_Cen_2010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Non-Hisp Native Hawaiian and Other Pacific Islander only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who indicate no Hispanic origin and their only race as "Native Hawaiian", "Guamanian or Chamorro", "Samoan", or "Other Pacific Islander" in the 2010 Census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60</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NH_NHOPI_alone_ACS_06_10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Non-Hisp Native Hawaiian and Other Pacific Islander only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who indicate no Hispanic origin and their only race as "Native Hawaiian", "Guamanian or Chamorro", "Samoan", or "Other Pacific Islander" in the ACS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NH_NHOPI_alone_ACSMOE_06_10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Non-Hisp Native Hawaiian and Other Pacific Islander only</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Non-Hispanic Native Hawaiian and Other Pacific Islander only</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62</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NH_SOR_alone_Cen_2010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Non-Hisp Some other race only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who indicate no Hispanic origin and their race as other than "White", "Hispanic", "Black or African American", "American Indian or Alaska Native", "Asian", and "Native Hawaiian or Other Pacific Islander" in the 2010 Census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Pop</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63</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NH_SOR_alone_ACS_06_10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Non-Hisp Some other race only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who indicate no Hispanic origin and their race as other than "White", "Hispanic", "Black or African American", "American Indian or Alaska Native", "Asian", and "Native Hawaiian or Other Pacific Islander" in the ACS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64</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NH_SOR_alone_ACSMOE_06_10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Non-Hisp Some other Race only</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Non-Hispanic Some other Race only</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65</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Pop_5yrs_Over_ACS_06_10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Population 5 years and over (denominator for language)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ages 5 years and over at time of interview in the ACS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66</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Pop_5yrs_Over_ACSMOE_06_10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Population 5 years and over </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Population 5 years and over</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67</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Othr_Lang_ACS_06_10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Population 5 years and over that speak a language other than English at home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ages 5 years and over at the time of interview that speak a language other than English at home in the ACS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 Pop 5+ Years</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68</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Othr_Lang_ACSMOE_06_10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Population 5 years and over that speak a language other than English at home</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Population 5 years and over that speak a language other than English at home</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69</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Pop_25yrs_Over_ACS_06_10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25 years old and over (denominator for educ. attainment)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ages 25 years and over at time of interview in the ACS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70</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Pop_25yrs_Over_ACSMOE_06_10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Number of people 25 years old and over</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Number of people 25 years old and over</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12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Not_HS_Grad_ACS_06_10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25 years old and over who are not high school graduates (received diploma or equivalent)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ages 25 years and over at time of interview who are not high school graduates and have not received a diploma or the equivalent in the ACS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 Pop 25+</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72</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Not_HS_Grad_ACSMOE_06_10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Number of people 25 years old and over who are not high school graduates (received diploma or equivalent)</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Number of people 25 years old and over who are not high school graduates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73</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College_ACS_06_10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Persons 25+ with college degree or higher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ages 25 years and over at time of interview with a college degree or higher in the ACS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 Pop 25+</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74</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College_ACSMOE_06_10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Persons 25+ with college degree or higher</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Persons 25+ with college degree of higher</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75</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Prs_Blw_Pov_Lev_ACS_06_10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classified as below the poverty level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classified as below the poverty level given their total family income within the last year, family size, and family composition in the ACS popuation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 Poverty Universe</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76</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Prs_Blw_Pov_Lev_ACSMOE_06_10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Number of people classified as below the poverty level</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Number of people classified as below the poverty level</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77</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Pov_Univ_ACS_06_10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Population for whom poverty level is determined (denominator for persons blw pov.)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excluding institutionalized people, people in military group quarters, people in college dormitories, and unrelated individuals under 15 years old in the ACS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78</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Pov_Univ_ACSMOE_06_10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Population for whom poverty level is determined</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Population for whom poverty level is determined</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79</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Pop_1yr_Over_ACS_06_10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1 year old and over (denominator for Diff HU 1 year)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ages 1 year and over at time of interview in the ACS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Pop</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80</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Pop_1yr_Over_ACSMOE_06_10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Number of People 1 year old and over</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Number of people 1 year old and over</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Diff_HU_1yr_ACS_06_10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Different House One Year Ago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people who moved from another residence in the U.S. or Puerto Rico within the last year in the ACS population</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 Pop 1 year or over</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82</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Diff_HU_1yr_ACSMOE_06_10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Different House One Year Ago</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Different house one year ago</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 </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 </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HOUSEHOLD VARIABLES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 </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12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83</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ENG_VW_SPAN_ACS_06_10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Spanish - No one 14 and over speaks English only or speaks English "very well" (Use Tot Occ HU as denominator)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households where a Spanish or Spanish Creole language was assigned as the household language and no one ages 14 years and over speaks English only or speaks English "very well"</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84</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ENG_VW_SPAN_ACSMOE_06_10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Spanish - No one 14 and over speaks English only or speaks English "very well"</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Spanish-No one 14 and over speaks English only or speaks English "very well"</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12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85</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ENG_VW_INDO_EURO_ACS_06_10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INDO EURO - No one 14 and over speaks English only or speaks English "very well" (Use Tot Occ HU as denominator)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households where an Indo-European language was assigned as the household language and no one ages 14 years and over speaks English only or speaks English "very well"</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86</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ENG_VW_INDO_EURO_ACSMOE_06_10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INDO EURO - No one 14 and over speaks English only or speaks English "very well"</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INDO EURO -No one 14 and over speaks English only or speaks English "very well"</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12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87</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ENG_VW_API_ACS_06_10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Asian PI - No one 14 and over speaks English only or speaks English "very well" (Use Tot Occ HU as denominator)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households where an Asian and Pacific Island language was assigned as the household language and no one ages 14 years and over speaks English only or speaks English "very well"</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88</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ENG_VW_API_ACSMOE_06_10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Asian PI - No one 14 and over speaks English only or speaks English "very well"</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API-No one 14 and over speaks English only or speaks English "very well"</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89</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ENG_VW_OTHER_ACS_06_10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Other - No one 14 and over speaks English only or speaks English "very well" (Use Tot Occ HU as denominator)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households where a language other than English, Spanish, Indo-Euro, or API was assigned as the household language and no one ages 14 years and over speaks English only or speaks English "very well"</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90</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ENG_VW_OTHER_ACSMOE_06_10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Other - No one 14 and over speaks English only or speaks English "very well"</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OTH-No one 14 and over speaks English only or speaks English "very well"</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ENG_VW_ACS_06_10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 one 14 and over speaks English only or speaks English "very well" (Use Tot Occ HU as denominator)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households where no one ages 14 years and over speaks English only or speaks English "very well"</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92</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ENG_VW_ACSMOE_06_10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No one 14 and over speaks English only or speaks English "very well"</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No one 14 and over speaks English only or speaks English "very well"</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93</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Rel_Family_HHDS_CEN_2010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Related family households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2010 Census households where at least 2 members are related by birth, marriage, or adoption; same-sex couple households with no relatives of the householder present are not included</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occupied HUs</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94</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Rel_Family_HHD_ACS_06_10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Related family households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households where at least 2 members are related by birth, marriage, or adoption; same-sex couple households with no relatives of the householder present are not included</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95</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Rel_Family_HHD_ACSMOE_06_10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Related family HHDs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Related family households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96</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MrdCple_Fmly_HHD_CEN_2010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Married-couple family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2010 Census households in which the householder and his or her spouse are listed as members of the same household; does not include same-sex married couples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97</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MrdCple_Fmly_HHD_ACS_06_10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Married-couple family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households in which the householder and his or her spouse are listed as members of the same household; does not include same-sex married couples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98</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MrdCple_Fmly_HHD_ACSMOE_06_10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Married-Couple Family</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Married-Couple Family</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99</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Not_ MrdCple_HHD_CEN_2010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Households with no married couple present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2010 Census households with no spousal relationship present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100</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Not_ MrdCple_HHD_ACS_06_10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Households with no married couple present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households with no spousal relationship present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Not_ MrdCple_HHD_ACSMOE_06_10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Households with no married couple present</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Number of ACS households with no spousal relationship present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102</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Female_No_HB_CEN_2010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Female householder, no husband present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2010 Census households with a female householder and no husband of householder present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103</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Female_No_HB_ACS_06_10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Female householder, no husband present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households with a female householder and no husband of householder present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104</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Female_No_HB_ACSMOE_06_10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Female Householder, No husband present</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Female householder, no husband present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105</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NonFamily_HHD_CEN_2010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Nonfamily households: Unrelated Household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2010 Census households where a householder lives alone or with nonrelatives only; includes same-sex couples where no relatives of the householder are present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106</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NonFamily_HHD_ACS_06_10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Nonfamily households: Unrelated Household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households where a householder lives alone or with nonrelatives only; includes same-sex couples where no relatives of the householder are present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107</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NonFamily_HHD_ACSMOE_06_10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Nonfamily household: Unrelated HHDs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Nonfamily household: Unrelated households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108</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Sngl_Prns_HHD_CEN_2010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Single person householder living alone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2010 Census households where a householder lives alone</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109</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Sngl_Prns_HHD_ACS_06_10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Single person householder living alone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households where a householder lives alone</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110</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Sngl_Prns_HHD_ACSMOE_06_10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Single person householder living alone</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Single person householder living alone</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HHD_PPL_Und_18_CEN_2010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Households with one or more people under 18 years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2010 Census households where one or more people are ages 18 years or under</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112</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HHD_PPL_Und_18_ACS_06_10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Households with one or more people under 18 years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households where one or more people are ages 18 years or under</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113</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HHD_PPL_Und_18_ACSMOE_06_10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Households with one or more people under 18 years: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Households with one or more people under 18 years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114</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Tot_Prns_in_HHD_CEN_2010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Persons in HHDs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 persons (household population) in 2010 Census occupied housing unit.  This is the numerator to calculate the average household size.</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115</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Tot_Prns_in_HHD_ACS_06_10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Persons in HHDs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 persons (household population) in ACS occupied housing unit. This is the numerator to calculate the average household size.</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116</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Tot_Prns_in_HHD_ACSMOE_06_10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Total Persons in HHDs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Total Persons in households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Persons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117</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Rel_Child_Under_6_CEN_2010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families with related children under 6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2010 Census families with related children under 6 years old</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Families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 Related Family Households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118</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Rel_Child_Under_6_ACS_06_10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families with related children under 6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families with related children under 6 years old</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Families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 Related Family Households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119</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Rel_Child_Under_6_ACSMOE_06_10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Number of families with related children under 6</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Number of families with related children under 6 years old</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Families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120</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HHD_Moved_in_ACS_06_10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households, householder moved in 2005 or later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households where the householder moved into the current unit in the year 2005 or later</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HHD_Moved_in_ACSMOE_06_10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Number of households, householder moved in 2005 or later</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Number of households where the householder moved into the current unit in the year 2005 or later</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122</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PUB_ASST_INC_ACS_06_10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With Public Assistance Income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households that receive public assistance income (general assistance and Temporary Assistance to Needy Families)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123</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PUB_ASST_INC_ACSMOE_06_10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With Public Assistance Income</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With Public Assistance Income</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124</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Med_HHD_Inc_BG_ACS_06_10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 HHD Income for Block group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Median ACS household income for designated block group</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125</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Med_HHD_Inc_BG_ACSMOE_06_10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Med HHD Income for Block group</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of Med household income for block group</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126</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Med_HHD_Inc_TR_ACS_06_10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 Household income - Tract level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Median ACS household income for designated tract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127</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Med_HHD_Inc_TR_ACSMOE_06_10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Med household income - Tract level</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Med household income at tract level</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Households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128</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Aggregate_HH_INC_ACS_06_10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Aggregate HH Income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Sum of all incomes in the household</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Block group</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129</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Aggregate_HH_INC_ACSMOE_06_10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Aggretare HH Income</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Aggregate household income</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Block group</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 </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 </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 </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 </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HOUSING UNIT VARIABLES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 </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130</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Tot_Housing_Units_CEN_2010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Housing Units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2010 Census living quarters in which the occupant(s) live separately from any other individuals in the building and have direct access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131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Tot_Housing_Units_ACS_06_10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Housing Units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living quarters in which the occupant(s) live separately from any other individuals in the building and have direct access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132</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Tot_Housing_Units_ACSMOE_06_10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Total Housing Units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Total Housing Units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15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133</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Tot_Occp_Units_CEN_2010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Occupied Housing Units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2010 Census housing units classified as usual place of residence of the individual or group living in it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 Tot HUs; used as the denominator for many 2010 Census HHD variables</w:t>
            </w:r>
          </w:p>
        </w:tc>
      </w:tr>
      <w:tr>
        <w:trPr>
          <w:trHeight w:val="12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134</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Tot_Occp_Units_ACS_06_10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Occupied Housing Units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housing units classified as usual place of residence of the individual or group living in it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 Tot HUs; used as the denominator for many ACS HHD variables</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135</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Tot_Occp_Units_ACSMOE_06_10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Total Occupied Housing Units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Total Occupied Housing Units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12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136</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Tot_Vacant_Units_CEN_2010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vacant Housing Units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2010 Census housing units with no regular occupants on Census Day; housing units with its usual occupants temporarily away (such as on vacation, a business trip, or in the hospital) are not considered vacant, but housing units temporarily occupied on Census Day by people who have a usual residence elsewhere are considered vacant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 Tot HUs</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137</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Tot_Vacant_Units_ACS_06_10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vacant Housing Units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housing units where no one is living regularly at the time of interview; units occupied at the time of interview entirely by persons who are staying two months or less and who have a more permanent residence elsewhere are classified as vacant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 Tot HUs</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138</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Tot_Vacant_Units_ACSMOE_06_10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Total vacant Housing Units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Total vacant housing units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139</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Renter_Occp_HU_CEN_2010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renter occupied units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2010 Census occupied housing units that are not owner occupied, whether they are rented or occupied without payment of rent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140</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Renter_Occp_HU_ACS_06_10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renter occupied units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occupied housing units that are not owner occupied, whether they are rented or occupied without payment of rent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141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Renter_Occp_HU_ACSMOE_06_10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Number of renter occupied units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Number of renter occupied units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142</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Owner_Occp_HU_CEN_2010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owner occupied units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2010 Census housing units where owner or co-owner lives in it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2010 Census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143</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Owner_Occp_HU_ACS_06_10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owner occupied units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housing units where owner or co-owner lives in it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144</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Owner_Occp_HU_ACSMOE_06_10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Number of owner occupied units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Number of owner occuped units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145</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Single_Unit_ACS_06_10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units in structures containing only 1 housing unit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housing units in which the structure contains only that single unit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 Tot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146</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Single_Unit_ACSMOE_06_10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Number of units in structures containing only 1 housing unit</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Number of units in structures containing only 1 housing unit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147</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MLT_U2_9_STRC_ACS_06_10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units in structures containing two or more housing units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housing units in which the structure contains two or more housing units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 Tot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148</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MLT_U2_9_STRC_ACSMOE_06_10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Number of units in structures containing two or more housing units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Number of units in structures containing two or more housing units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149</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MLT_U10p_ACS_06_10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units in structures containing 10 or more housing units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housing units in which the structure contains 10 or more housing units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 Tot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150</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MLT_U10p_ACSMOE_06_10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Number of units in structures containing 10 or more housing units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Number of units in structures containing 10 or more housing units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151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Mobile_Homes_ACS_06_10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Mobile Homes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housing units that are considered mobile homes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 Tot HUs</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152</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Mobile_Homes_ACSMOE_06_10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Mobile Homes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Mobile Homes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153</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Crowd_Occp_U_ACS_06_10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Occupied Units with more than 1.01 + persons per room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occupied housing units with more than 1.01 persons per room</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154</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Crowd_Occp_U_ACSMOE_06_10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Occupied Units with more than 1.01 + persons per room</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Occupied units with more than 1.01 persons per room</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155</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Occp_U_NO_PH_SRVC_ACS_06_10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units without telephone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housing units without a working telephone and available service</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 ACS occupied HUs</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156</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Occp_U_NO_PH_SRVC_ACSMOE_06_10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Number of units without telephone</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Number of units without a telephone</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157</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No_Plumb_ACS_06_10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Lacking complete plumbing facilities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ACS housing units lacking complete plumbing facilities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 Tot HUs</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158</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No_Plumb_ACSMOE_06_10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Lacking complete plumbing facilities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housing units lacking complete plumbing facilities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159</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Built_Last_5_yrs_ACS_06_10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Built in 2005 or later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both occupied and vacant ACS housing units whose building was constructed in 2005 or later</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 Tot HUs</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160</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Built_Last_5_yrs_ACSMOE_06_10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HUs built in 2005 or later </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HUs built 2005 or later</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Med_House_Val_BG_ACS_06_10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 House value for the block group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Median of ACS respondents' house value estimates per block group</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162</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Med_House_Val_BG_ACSMOE_06_10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Med House value for the block group</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Med House value for the block group</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163</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Med_house_val_tr_ACS_06_10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 House Value - Tract level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Median of ACS respondents' house value estimates per tract</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164</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Med_house_val_tr_ACSMOE_06_10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Med House Value - Tract level</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Med house value at tract level</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165</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Aggr_House_Value_ACS_06_10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Aggregate HU value (dollars) in the ACS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Sum of all value estimates for owner-occupied ACS housing units in an area</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Block group</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Total ACS OCC HU</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166</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Aggr_House_Value_ACSMOE_06_10</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MOE - Aggregate value (dollars):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Margin of Error for Aggregate value in dollars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Block group</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 </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3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 </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OPERATIONAL VARIABLES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spacing w:val="0"/>
                <w:position w:val="0"/>
                <w:sz w:val="22"/>
              </w:rPr>
            </w:pPr>
            <w:r>
              <w:rPr>
                <w:rFonts w:ascii="Calibri" w:hAnsi="Calibri" w:cs="Calibri" w:eastAsia="Calibri"/>
                <w:b/>
                <w:color w:val="FF0000"/>
                <w:spacing w:val="0"/>
                <w:position w:val="0"/>
                <w:sz w:val="22"/>
                <w:shd w:fill="auto" w:val="clear"/>
              </w:rPr>
              <w:t xml:space="preserve"> </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167</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MailBack_Area_Count_CEN_2010 </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HUs in mailback areas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housing units in a mail return area in the 2010 Census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Tot_Housing_Units_CEN_2010</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168</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TEA_Mail_Out_Mail_Back_CEN_2010 </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HUs where type of enumeration area was mail out/mail back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housing units in a Mailout/Mailback type of enumeration area in the 2010 Census (TEA codes 1 and 6)</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MailBack_Area_Count_CEN_2010</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169</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TEA_Update_Leave_CEN_2010 </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HUs where type of enumeration area was update leave in the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housing units in an Update/Leave type of enumeration area in the 2010 Census (TEA codes 2 and 7)</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MailBack_Area_Count_CEN_2010</w:t>
            </w:r>
          </w:p>
        </w:tc>
      </w:tr>
      <w:tr>
        <w:trPr>
          <w:trHeight w:val="6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170</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BILQ_Mailout_count_CEN_2010 </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Bi-Lingual Questionnaire forms Mailout in 2010 Census</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Number of housing units that received the 2010 Census English/Spanish bilingual mailout form</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Housing Units</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2010 Census</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MailBack_Area_Count_CEN_2010</w:t>
            </w:r>
          </w:p>
        </w:tc>
      </w:tr>
      <w:tr>
        <w:trPr>
          <w:trHeight w:val="900" w:hRule="auto"/>
          <w:jc w:val="left"/>
        </w:trPr>
        <w:tc>
          <w:tcPr>
            <w:tcW w:w="677" w:type="dxa"/>
            <w:tcBorders>
              <w:top w:val="single" w:color="000000" w:sz="0"/>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171</w:t>
            </w:r>
          </w:p>
        </w:tc>
        <w:tc>
          <w:tcPr>
            <w:tcW w:w="406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Mail_Return_Rate_CEN_2010 </w:t>
            </w:r>
          </w:p>
        </w:tc>
        <w:tc>
          <w:tcPr>
            <w:tcW w:w="22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2010 Census Mail Return Rate</w:t>
            </w:r>
          </w:p>
        </w:tc>
        <w:tc>
          <w:tcPr>
            <w:tcW w:w="7081"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number of mail returns received out of the total number of valid HUs in the mailback universe (the mailback universe excluding deleted, vacant, or UAA units).  A small number of Block Groups contain only HUs that do not meet the requirement to be considered a valid HU.  This variable will have a missing value for these 1606 Block Groups.</w:t>
            </w:r>
          </w:p>
        </w:tc>
        <w:tc>
          <w:tcPr>
            <w:tcW w:w="1392"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6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868"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File Structure of the 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PDB is available in a .CSV format.  The data file contains 220,335 total observations.  Users should take caution when saving the entire .CSV file as an Excel workbook because of Excel’s row number limit.  The first row of the data file contains variable numbers for each column that can be used to match the variable names against the variable numbers used in this document.  The value of variables in the PDB may not be shown for block groups containing small populations or few housing units; variables with missing data are denoted by blank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PDB contains data from three major source files:</w:t>
      </w:r>
    </w:p>
    <w:p>
      <w:pPr>
        <w:numPr>
          <w:ilvl w:val="0"/>
          <w:numId w:val="8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2010 Census data – Population and housing</w:t>
      </w:r>
    </w:p>
    <w:p>
      <w:pPr>
        <w:numPr>
          <w:ilvl w:val="0"/>
          <w:numId w:val="8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2006 – 2010 5-year ACS sample data – Population, housing, and socioeconomic</w:t>
      </w:r>
    </w:p>
    <w:p>
      <w:pPr>
        <w:numPr>
          <w:ilvl w:val="0"/>
          <w:numId w:val="8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2010 Census operational data – Mail returns by type of enumeration area, which can be used to generate the return and response rates.  Return rates are included in this file. </w:t>
      </w:r>
    </w:p>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Appendix A. Margin of Error Calculations and Nonsampling 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margin of error around an estimate is important because it helps you draw conclusions about the reliability of the data. Small differences between two estimates may not be statistically significant if the confidence intervals of those estimates overlap. However, the Census Bureau cautions data users not to rely on overlapping confidence intervals as a test for statistical significance, because this method will not always produce accurate results. Instead, the Census Bureau recommends following the detailed instructions for conducting statistical significance tests in Appendix 4 of </w:t>
      </w:r>
      <w:r>
        <w:rPr>
          <w:rFonts w:ascii="Calibri" w:hAnsi="Calibri" w:cs="Calibri" w:eastAsia="Calibri"/>
          <w:i/>
          <w:color w:val="auto"/>
          <w:spacing w:val="0"/>
          <w:position w:val="0"/>
          <w:sz w:val="22"/>
          <w:shd w:fill="auto" w:val="clear"/>
        </w:rPr>
        <w:t xml:space="preserve">A Compass for Understanding and Using American Community Survey Data: What General Data Users Need to Know </w:t>
      </w:r>
      <w:r>
        <w:rPr>
          <w:rFonts w:ascii="Calibri" w:hAnsi="Calibri" w:cs="Calibri" w:eastAsia="Calibri"/>
          <w:color w:val="auto"/>
          <w:spacing w:val="0"/>
          <w:position w:val="0"/>
          <w:sz w:val="22"/>
          <w:shd w:fill="auto" w:val="clear"/>
        </w:rPr>
        <w:t xml:space="preserve">(</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http://www.census.gov/acs/www/Downloads/handbooks/ACSGeneralHandbook.pdf</w:t>
        </w:r>
      </w:hyperlink>
      <w:r>
        <w:rPr>
          <w:rFonts w:ascii="Calibri" w:hAnsi="Calibri" w:cs="Calibri" w:eastAsia="Calibri"/>
          <w:color w:val="auto"/>
          <w:spacing w:val="0"/>
          <w:position w:val="0"/>
          <w:sz w:val="22"/>
          <w:shd w:fill="auto" w:val="clear"/>
        </w:rPr>
        <w:t xml:space="preserve">). In some cases, data users will need to construct custom ACS estimates by combining data across multiple geographic areas or population subgroups or it may be necessary to derive a new percentage, proportion, or ratio from published ACS data. In such cases, additional calculations are needed to produce confidence intervals and margins of error for the derived estimates. Appendix 3 of </w:t>
      </w:r>
      <w:r>
        <w:rPr>
          <w:rFonts w:ascii="Calibri" w:hAnsi="Calibri" w:cs="Calibri" w:eastAsia="Calibri"/>
          <w:i/>
          <w:color w:val="auto"/>
          <w:spacing w:val="0"/>
          <w:position w:val="0"/>
          <w:sz w:val="22"/>
          <w:shd w:fill="auto" w:val="clear"/>
        </w:rPr>
        <w:t xml:space="preserve">A Compass for Understanding and Using American Community Survey Data: What General Data Users Need to Know </w:t>
      </w:r>
      <w:r>
        <w:rPr>
          <w:rFonts w:ascii="Calibri" w:hAnsi="Calibri" w:cs="Calibri" w:eastAsia="Calibri"/>
          <w:color w:val="auto"/>
          <w:spacing w:val="0"/>
          <w:position w:val="0"/>
          <w:sz w:val="22"/>
          <w:shd w:fill="auto" w:val="clear"/>
        </w:rPr>
        <w:t xml:space="preserve">(</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http://www.census.gov/acs/www/Downloads/handbooks/ACSGeneralHandbook.pdf</w:t>
        </w:r>
      </w:hyperlink>
      <w:r>
        <w:rPr>
          <w:rFonts w:ascii="Calibri" w:hAnsi="Calibri" w:cs="Calibri" w:eastAsia="Calibri"/>
          <w:color w:val="auto"/>
          <w:spacing w:val="0"/>
          <w:position w:val="0"/>
          <w:sz w:val="22"/>
          <w:shd w:fill="auto" w:val="clear"/>
        </w:rPr>
        <w:t xml:space="preserve">) provides detailed instructions on how to make these calculations.   Please note that published margins of error, when available, should always be used over calculated measures of 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these error measures do not tell us about the magnitude of nonsampling errors.  To learn more about nonsampling error in the 2010 Census, please see Chapter 7 of </w:t>
      </w:r>
      <w:r>
        <w:rPr>
          <w:rFonts w:ascii="Calibri" w:hAnsi="Calibri" w:cs="Calibri" w:eastAsia="Calibri"/>
          <w:i/>
          <w:color w:val="auto"/>
          <w:spacing w:val="0"/>
          <w:position w:val="0"/>
          <w:sz w:val="22"/>
          <w:shd w:fill="auto" w:val="clear"/>
        </w:rPr>
        <w:t xml:space="preserve">2010 Census Summary File 2: Technical Documentation</w:t>
      </w:r>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www.census.gov/prod/cen2010/doc/sf2.pdf</w:t>
        </w:r>
      </w:hyperlink>
      <w:r>
        <w:rPr>
          <w:rFonts w:ascii="Calibri" w:hAnsi="Calibri" w:cs="Calibri" w:eastAsia="Calibri"/>
          <w:color w:val="auto"/>
          <w:spacing w:val="0"/>
          <w:position w:val="0"/>
          <w:sz w:val="22"/>
          <w:shd w:fill="auto" w:val="clear"/>
        </w:rPr>
        <w:t xml:space="preserve">). To learn more about nonsampling error in the 2006 – 2010 ACS, please see the section titled “Control of Nonsampling Error” in </w:t>
      </w:r>
      <w:r>
        <w:rPr>
          <w:rFonts w:ascii="Calibri" w:hAnsi="Calibri" w:cs="Calibri" w:eastAsia="Calibri"/>
          <w:i/>
          <w:color w:val="auto"/>
          <w:spacing w:val="0"/>
          <w:position w:val="0"/>
          <w:sz w:val="22"/>
          <w:shd w:fill="auto" w:val="clear"/>
        </w:rPr>
        <w:t xml:space="preserve">American Community Survey Selected Population Tables and American Indian and Alaska Native Tables: Accuracy of the Data (2010) </w:t>
      </w:r>
      <w:r>
        <w:rPr>
          <w:rFonts w:ascii="Calibri" w:hAnsi="Calibri" w:cs="Calibri" w:eastAsia="Calibri"/>
          <w:color w:val="auto"/>
          <w:spacing w:val="0"/>
          <w:position w:val="0"/>
          <w:sz w:val="22"/>
          <w:shd w:fill="auto" w:val="clear"/>
        </w:rPr>
        <w:t xml:space="preserve">(</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http://www.census.gov/acs/www/Downloads/data_documentation/special_data_release/SPT_AIANTAccuracyofData2010.pdf</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mbria" w:hAnsi="Cambria" w:cs="Cambria" w:eastAsia="Cambria"/>
          <w:b/>
          <w:color w:val="365F91"/>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83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census.gov/acs/www/Downloads/data_documentation/SubjectDefinitions/2010_ACSSubjectDefinitions.pdf" Id="docRId1" Type="http://schemas.openxmlformats.org/officeDocument/2006/relationships/hyperlink"/><Relationship TargetMode="External" Target="http://www.census.gov/acs/www/Downloads/handbooks/ACSGeneralHandbook.pdf" Id="docRId3" Type="http://schemas.openxmlformats.org/officeDocument/2006/relationships/hyperlink"/><Relationship TargetMode="External" Target="http://www.census.gov/acs/www/Downloads/data_documentation/special_data_release/SPT_AIANTAccuracyofData2010.pdf" Id="docRId5" Type="http://schemas.openxmlformats.org/officeDocument/2006/relationships/hyperlink"/><Relationship Target="styles.xml" Id="docRId7" Type="http://schemas.openxmlformats.org/officeDocument/2006/relationships/styles"/><Relationship TargetMode="External" Target="http://www.census.gov/prod/cen2010/doc/sf2.pdf" Id="docRId0" Type="http://schemas.openxmlformats.org/officeDocument/2006/relationships/hyperlink"/><Relationship TargetMode="External" Target="http://www.census.gov/acs/www/Downloads/handbooks/ACSGeneralHandbook.pdf" Id="docRId2" Type="http://schemas.openxmlformats.org/officeDocument/2006/relationships/hyperlink"/><Relationship TargetMode="External" Target="http://www.census.gov/prod/cen2010/doc/sf2.pdf" Id="docRId4" Type="http://schemas.openxmlformats.org/officeDocument/2006/relationships/hyperlink"/><Relationship Target="numbering.xml" Id="docRId6" Type="http://schemas.openxmlformats.org/officeDocument/2006/relationships/numbering"/></Relationships>
</file>