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F8C8D"/>
          <w:sz w:val="28"/>
          <w:szCs w:val="28"/>
        </w:rPr>
        <w:t xml:space="preserve">GUIDE TECHNIQUE</w:t>
      </w:r>
    </w:p>
    <w:p>
      <w:pPr>
        <w:pStyle w:val="Title"/>
      </w:pPr>
      <w:r>
        <w:t xml:space="preserve">Modele de Croissance Gompertz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E67E22"/>
          <w:sz w:val="40"/>
          <w:szCs w:val="40"/>
        </w:rPr>
        <w:t xml:space="preserve">&amp;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Optimisation Alimentaire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Application FarmFlow — Elevage Clarias gariepinus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Cameroun — Conditions tropicales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29 mars 2026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Auteur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DK Farm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Destinataires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Ingenieurs piscicoles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t xml:space="preserve">PARTIE I — Le Modele de Croissance Gompertz</w:t>
      </w:r>
    </w:p>
    <w:p>
      <w:pPr>
        <w:pStyle w:val="Heading2"/>
        <w:spacing w:after="120" w:before="320"/>
      </w:pPr>
      <w:r>
        <w:t xml:space="preserve">1.1 Pourquoi Gompertz 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croissance des poissons ne suit pas une ligne droite. Elle est rapide au debut, puis ralentit progressivement a mesure que le poisson approche de sa taille adulte. Cette trajectoire en forme de S (sigmoide) est une realite biologique universelle.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Parmi les modeles mathematiques disponibles (Von Bertalanffy, Logistique, Richards), le modele de Gompertz est le plus adapte au Clarias gariepinus car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 point d'inflexion (moment ou la croissance ralentit) arrive tot, a environ 30-37% du poids maximum. C'est exactement le profil du Clarias.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 modelise bien la croissance asymetrique : acceleration rapide en jeune age, deceleration progressive.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 est valide par la litterature scientifique (FAO, CIRAD, etudes Nigeria/Cameroun).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 ne necessite que 3 parametres a calibrer, ce qui le rend pratique avec peu de donnees.</w:t>
      </w:r>
    </w:p>
    <w:p>
      <w:pPr>
        <w:pStyle w:val="Heading2"/>
        <w:spacing w:after="120" w:before="320"/>
      </w:pPr>
      <w:r>
        <w:t xml:space="preserve">1.2 La formule Gompertz — decortiquee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BDC3C7" w:sz="1"/>
              <w:right w:val="single" w:color="BDC3C7" w:sz="1"/>
            </w:tcBorders>
            <w:shd w:fill="D6EAF8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FORMULE GOMPERTZ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W(t) = W∞ × exp( −exp( −K × (t − tᵢ) ) 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W(t) = poids moyen predit au jour t (en grammes)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W∞  = poids asymptotique maximal theorique (en grammes)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K    = taux de croissance intrinseque (par jour)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tᵢ   = jour du point d'inflexion (jour ou la croissance est maximale)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    = age du poisson en jours depuis la mise en charge</w:t>
            </w:r>
          </w:p>
        </w:tc>
      </w:tr>
    </w:tbl>
    <w:p>
      <w:pPr>
        <w:spacing w:after="80" w:before="2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Decomposition element par element :</w:t>
      </w:r>
    </w:p>
    <w:p>
      <w:pPr>
        <w:pStyle w:val="Heading3"/>
        <w:spacing w:after="100" w:before="240"/>
      </w:pPr>
      <w:r>
        <w:t xml:space="preserve">W(t) — Le poids moyen predit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C'est le resultat final : le poids moyen en grammes que le modele predit pour un poisson a l'age t jours. C'est la valeur qui sera tracee sur la courbe previsionnelle dans FarmFlow.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BDC3C7" w:sz="1"/>
              <w:right w:val="single" w:color="BDC3C7" w:sz="1"/>
            </w:tcBorders>
            <w:shd w:fill="D5F5E3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Dans FarmFlow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poids est compare au poids moyen observe (releves BIOMETRIE).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L'ecart entre W(t) predit et le poids observe mesure la performance reelle de la vague.</w:t>
            </w:r>
          </w:p>
        </w:tc>
      </w:tr>
    </w:tbl>
    <w:p>
      <w:pPr>
        <w:pStyle w:val="Heading3"/>
        <w:spacing w:after="100" w:before="240"/>
      </w:pPr>
      <w:r>
        <w:t xml:space="preserve">W∞ — Le poids asymptotique maximal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C'est le poids theorique maximum que le poisson atteindrait s'il grandissait indefiniment dans des conditions parfaites.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pratique, il n'est jamais atteint</w:t>
      </w:r>
      <w:r>
        <w:rPr>
          <w:rFonts w:ascii="Arial" w:cs="Arial" w:eastAsia="Arial" w:hAnsi="Arial"/>
          <w:sz w:val="22"/>
          <w:szCs w:val="22"/>
        </w:rPr>
        <w:t xml:space="preserve"> car on recolte bien avant.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Pour le Clarias gariepinus en conditions tropicales au Cameroun, les valeurs typiques sont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W∞ typique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Bac beton intensif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1 000 – 1 500 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Recolte a 700–800 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Etang semi-intensif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1 500 – 2 000 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Croissance plus lente, poids final plus eleve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RAS intensif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1 200 – 1 800 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Conditions controlees</w:t>
            </w:r>
          </w:p>
        </w:tc>
      </w:tr>
    </w:tbl>
    <w:p>
      <w:pPr>
        <w:spacing w:after="80" w:before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 par defaut FarmFlow : </w:t>
      </w:r>
      <w:r>
        <w:rPr>
          <w:rFonts w:ascii="Arial" w:cs="Arial" w:eastAsia="Arial" w:hAnsi="Arial"/>
          <w:sz w:val="22"/>
          <w:szCs w:val="22"/>
        </w:rPr>
        <w:t xml:space="preserve">1 200 g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(ajustable dans ConfigElevage → champ gompertzWInf)</w:t>
      </w:r>
    </w:p>
    <w:p>
      <w:pPr>
        <w:pStyle w:val="Heading3"/>
        <w:spacing w:after="100" w:before="240"/>
      </w:pPr>
      <w:r>
        <w:t xml:space="preserve">K — Le taux de croissance intrinseque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 determine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vitesse</w:t>
      </w:r>
      <w:r>
        <w:rPr>
          <w:rFonts w:ascii="Arial" w:cs="Arial" w:eastAsia="Arial" w:hAnsi="Arial"/>
          <w:sz w:val="22"/>
          <w:szCs w:val="22"/>
        </w:rPr>
        <w:t xml:space="preserve"> a laquelle le poisson approche de W∞. Plus K est grand, plus la croissance est rapide. C'est le parametre le plus sensible aux conditions d'elevage.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Facteurs qui augmentent K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Temperature de l'eau optimale (26–30 °C)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Aliment de haute qualite (35–45% proteines, FCR &lt; 1.5)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Densite raisonnable (&lt; 150 kg/m³)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Renouvellement d'eau adequat (&gt; 25%/jour)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Facteurs qui diminuent K 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Sous-alimentation ou aliment de mauvaise qualite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Surdensification (&gt; 200 kg/m³ sans RAS)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Temperature hors plage optimale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Stress (mauvaise qualite d'eau, manipulations excessives)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(/jour)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Excellentes (RAS, aliment premium)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0.020 – 0.025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Elevage professionnel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Bonnes (bac beton, aliment commercial)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0.015 – 0.020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Cameroun standard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Moyennes (etang, aliment artisanal)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0.010 – 0.015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Campagne rurale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Mauvaises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 0.010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Probleme a identifier</w:t>
            </w:r>
          </w:p>
        </w:tc>
      </w:tr>
    </w:tbl>
    <w:p>
      <w:pPr>
        <w:spacing w:after="80" w:before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 par defaut FarmFlow : </w:t>
      </w:r>
      <w:r>
        <w:rPr>
          <w:rFonts w:ascii="Arial" w:cs="Arial" w:eastAsia="Arial" w:hAnsi="Arial"/>
          <w:sz w:val="22"/>
          <w:szCs w:val="22"/>
        </w:rPr>
        <w:t xml:space="preserve">0.018 /jour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(recalibrable automatiquement des 3 biometries)</w:t>
      </w:r>
    </w:p>
    <w:p>
      <w:pPr>
        <w:pStyle w:val="Heading3"/>
        <w:spacing w:after="100" w:before="240"/>
      </w:pPr>
      <w:r>
        <w:t xml:space="preserve">tᵢ — Le point d'inflexion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C'est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jour ou la croissance quotidienne est maximale</w:t>
      </w:r>
      <w:r>
        <w:rPr>
          <w:rFonts w:ascii="Arial" w:cs="Arial" w:eastAsia="Arial" w:hAnsi="Arial"/>
          <w:sz w:val="22"/>
          <w:szCs w:val="22"/>
        </w:rPr>
        <w:t xml:space="preserve">. Avant tᵢ, la croissance accelere. Apres tᵢ, elle decelere progressivement.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Au point d'inflexion, le poids du poisson vaut exactement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W∞ / e ≈ 37% de W∞</w:t>
      </w:r>
      <w:r>
        <w:rPr>
          <w:rFonts w:ascii="Arial" w:cs="Arial" w:eastAsia="Arial" w:hAnsi="Arial"/>
          <w:sz w:val="22"/>
          <w:szCs w:val="22"/>
        </w:rPr>
        <w:t xml:space="preserve">. Pour un W∞ de 1 200 g, cela donne environ 440 g.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Pour Clarias en bacs au Cameroun, tᵢ se situe generalement entre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85 et 110 jours</w:t>
      </w:r>
      <w:r>
        <w:rPr>
          <w:rFonts w:ascii="Arial" w:cs="Arial" w:eastAsia="Arial" w:hAnsi="Arial"/>
          <w:sz w:val="22"/>
          <w:szCs w:val="22"/>
        </w:rPr>
        <w:t xml:space="preserve"> apres mise en charge (soit environ 3 mois).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 par defaut FarmFlow : </w:t>
      </w:r>
      <w:r>
        <w:rPr>
          <w:rFonts w:ascii="Arial" w:cs="Arial" w:eastAsia="Arial" w:hAnsi="Arial"/>
          <w:sz w:val="22"/>
          <w:szCs w:val="22"/>
        </w:rPr>
        <w:t xml:space="preserve">95 jours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(recalibrable automatiquement)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BDC3C7" w:sz="1"/>
              <w:right w:val="single" w:color="BDC3C7" w:sz="1"/>
            </w:tcBorders>
            <w:shd w:fill="FDEBD0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Importance pratique de tᵢ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point d'inflexion est le moment CLE pour l'eleveur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AVANT tᵢ : investir au maximum dans l'alimentation (taux eleves, qualite premium)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APRES tᵢ : la conversion alimentaire se degrade naturellement → optimiser les couts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C'est souvent le moment ideal pour envisager un changement de taille de granule</w:t>
            </w:r>
          </w:p>
        </w:tc>
      </w:tr>
    </w:tbl>
    <w:p>
      <w:pPr>
        <w:pStyle w:val="Heading3"/>
        <w:spacing w:after="100" w:before="240"/>
      </w:pPr>
      <w:r>
        <w:t xml:space="preserve">La double exponentielle — exp(-exp(...))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C'est la signature mathematique du modele Gompertz. La double exponentielle cree la forme en S asymetrique 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 interne </w:t>
      </w:r>
      <w:r>
        <w:rPr>
          <w:rFonts w:ascii="Arial" w:cs="Arial" w:eastAsia="Arial" w:hAnsi="Arial"/>
          <w:sz w:val="22"/>
          <w:szCs w:val="22"/>
        </w:rPr>
        <w:t xml:space="preserve">= exp(−K × (t − tᵢ)) : un facteur qui diminue avec le temps. Quand t est petit (poisson jeune), ce facteur est grand et freine la croissance.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 externe </w:t>
      </w:r>
      <w:r>
        <w:rPr>
          <w:rFonts w:ascii="Arial" w:cs="Arial" w:eastAsia="Arial" w:hAnsi="Arial"/>
          <w:sz w:val="22"/>
          <w:szCs w:val="22"/>
        </w:rPr>
        <w:t xml:space="preserve">= exp(−...) : transforme le facteur interne en multiplicateur de W∞. Quand le facteur interne est grand, le multiplicateur est petit (poids faible). Quand il est petit, le multiplicateur tend vers 1 (poids tend vers W∞).</w:t>
      </w:r>
    </w:p>
    <w:p>
      <w:r>
        <w:br w:type="page"/>
      </w:r>
    </w:p>
    <w:p>
      <w:pPr>
        <w:pStyle w:val="Heading2"/>
        <w:spacing w:after="120" w:before="320"/>
      </w:pPr>
      <w:r>
        <w:t xml:space="preserve">1.3 Exemple chiffre — Cycle DK Farm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Prenons un cycle typique DK Farm au Cameroun 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W∞ = 1 200 g, K = 0.018 /jour, tᵢ = 95 jours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Alevins mis en charge a 0.5 g (J0)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1560"/>
        <w:gridCol w:w="1560"/>
        <w:gridCol w:w="1560"/>
        <w:gridCol w:w="1950"/>
      </w:tblGrid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W(t) predit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granule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alim.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0.5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Mise en charge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1.2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Alevins fingerlings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Acclimatation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1.2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16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Croissance debut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1.5–2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5.5%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1er switch granule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42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Croissance debut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2–3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5.5%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88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Juvenile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3–4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2e switch granule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75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157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Grossissement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4–6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2.5%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3e switch granule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249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Grossissement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4–6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2.5%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Proche de tᵢ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95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283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Grossissement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4–6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2.5%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INFLEXION — croissance max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350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Grossissement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4–6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2.5%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4e switch granule</w:t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450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Finition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6–9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1.75%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644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Finition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6–9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1.75%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180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800 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Pre-recolte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6–9 mm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1.25%</w:t>
            </w:r>
          </w:p>
        </w:tc>
        <w:tc>
          <w:tcPr>
            <w:tcW w:type="dxa" w:w="19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Recolte possible</w:t>
            </w:r>
          </w:p>
        </w:tc>
      </w:tr>
    </w:tbl>
    <w:p>
      <w:pPr>
        <w:spacing w:after="80" w:before="12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: Les poids predits sont calcules par la formule Gompertz. Les tailles de granule et taux d'alimentation correspondent aux seuils par defaut ConfigElevage de FarmFlow.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PARTIE II — Integration avec FarmFlow</w:t>
      </w:r>
    </w:p>
    <w:p>
      <w:pPr>
        <w:pStyle w:val="Heading2"/>
        <w:spacing w:after="120" w:before="320"/>
      </w:pPr>
      <w:r>
        <w:t xml:space="preserve">2.1 Donnees deja collectees dans FarmFlow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FarmFlow collecte deja toutes les donnees necessaires pour alimenter le modele Gompertz. Voici la correspondance exacte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 Gompertz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FarmFlow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Releve / Champ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 ideale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W(t) observe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 BIOMETRIE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poidsMoyen (g)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Toutes les 2 semaines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 (age en jours)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Vague.dateDebut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calcule : date releve − dateDebut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Automatique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W(0) poids initial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Vague.poidsMoyenInitial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Saisi a la creation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 fois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Temperature eau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 QUALITE_EAU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temperature (°C)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2×/semaine min.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Nombre vivants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 COMPTAGE / MORTALITE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nombreCompte / nombreMorts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Aliment distribue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 ALIMENTATION / ReleveConsommation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quantite (kg), produitId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FCR observe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Calcule automatique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quantiteAliment / gainBiomasse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Automatique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SGR observe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Calcule automatique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(ln W2 − ln W1) / Δt × 100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Automatique</w:t>
            </w:r>
          </w:p>
        </w:tc>
      </w:tr>
    </w:tbl>
    <w:p>
      <w:pPr>
        <w:pStyle w:val="Heading2"/>
        <w:spacing w:after="120" w:before="320"/>
      </w:pPr>
      <w:r>
        <w:t xml:space="preserve">2.2 Ou stocker les parametres Gompertz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Les 3 parametres du modele sont stockes dans le modele ConfigElevage (Prisma)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Prisma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gompertzWInf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1200.0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Poids asymptotique (g)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gompertzK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0.018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Taux croissance (/jour)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gompertzTInflexion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95.0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Jour d'inflexion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Chaque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site (ferme)</w:t>
      </w:r>
      <w:r>
        <w:rPr>
          <w:rFonts w:ascii="Arial" w:cs="Arial" w:eastAsia="Arial" w:hAnsi="Arial"/>
          <w:sz w:val="22"/>
          <w:szCs w:val="22"/>
        </w:rPr>
        <w:t xml:space="preserve"> peut avoir ses propres valeurs. Le formulaire ConfigElevage dans l'interface ingenieur permettra de les ajuster.</w:t>
      </w:r>
    </w:p>
    <w:p>
      <w:pPr>
        <w:pStyle w:val="Heading2"/>
        <w:spacing w:after="120" w:before="320"/>
      </w:pPr>
      <w:r>
        <w:t xml:space="preserve">2.3 Calibrage automatique sur les biometries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C'est la cle pour obtenir une courbe proche de la realite. Des que la vague a accumule 3 biometries ou plus, FarmFlow recalibre automatiquement K et tᵢ 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Collecte des points</w:t>
      </w:r>
      <w:r>
        <w:rPr>
          <w:rFonts w:ascii="Arial" w:cs="Arial" w:eastAsia="Arial" w:hAnsi="Arial"/>
          <w:sz w:val="22"/>
          <w:szCs w:val="22"/>
        </w:rPr>
        <w:t xml:space="preserve"> — Chaque releve BIOMETRIE fournit un couple (t, W) : l'age en jours et le poids moyen mesure.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Regression non-lineaire</w:t>
      </w:r>
      <w:r>
        <w:rPr>
          <w:rFonts w:ascii="Arial" w:cs="Arial" w:eastAsia="Arial" w:hAnsi="Arial"/>
          <w:sz w:val="22"/>
          <w:szCs w:val="22"/>
        </w:rPr>
        <w:t xml:space="preserve"> — L'algorithme de Levenberg-Marquardt minimise l'ecart entre les points observes et la courbe Gompertz en ajustant K et tᵢ (W∞ reste fixe ou est contraint).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Mise a jour</w:t>
      </w:r>
      <w:r>
        <w:rPr>
          <w:rFonts w:ascii="Arial" w:cs="Arial" w:eastAsia="Arial" w:hAnsi="Arial"/>
          <w:sz w:val="22"/>
          <w:szCs w:val="22"/>
        </w:rPr>
        <w:t xml:space="preserve"> — A chaque nouvelle biometrie, la courbe est recalculee. La precision s'ameliore avec chaque point.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Projection</w:t>
      </w:r>
      <w:r>
        <w:rPr>
          <w:rFonts w:ascii="Arial" w:cs="Arial" w:eastAsia="Arial" w:hAnsi="Arial"/>
          <w:sz w:val="22"/>
          <w:szCs w:val="22"/>
        </w:rPr>
        <w:t xml:space="preserve"> — La courbe calibree est prolongee jusqu'a la fin du cycle pour predire la trajectoire de poids.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BDC3C7" w:sz="1"/>
              <w:right w:val="single" w:color="BDC3C7" w:sz="1"/>
            </w:tcBorders>
            <w:shd w:fill="D5F5E3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Precision attendue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Avec 3 biometries (J15, J30, J45) : ecart moyen ±15–20%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Avec 5 biometries (J15–J75)      : ecart moyen ±8–12%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Avec 7+ biometries (J15–J105+)   : ecart moyen ±3–5%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precision depend aussi de la regularite des biometries et de la taille de l'echantillon pese.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2.4 Guide pas-a-pas : comment utiliser les donnees</w:t>
      </w:r>
    </w:p>
    <w:p>
      <w:pPr>
        <w:pStyle w:val="Heading3"/>
        <w:spacing w:after="100" w:before="240"/>
      </w:pPr>
      <w:r>
        <w:t xml:space="preserve">Etape 1 — Configurer le profil d'elevage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Dans FarmFlow, aller dans Parametres &gt; Config Elevage &gt; Nouveau profil. Renseigner 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Poids objectif : </w:t>
      </w:r>
      <w:r>
        <w:rPr>
          <w:rFonts w:ascii="Arial" w:cs="Arial" w:eastAsia="Arial" w:hAnsi="Arial"/>
          <w:sz w:val="22"/>
          <w:szCs w:val="22"/>
        </w:rPr>
        <w:t xml:space="preserve">800 g (ou selon votre marche)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Duree cycle : </w:t>
      </w:r>
      <w:r>
        <w:rPr>
          <w:rFonts w:ascii="Arial" w:cs="Arial" w:eastAsia="Arial" w:hAnsi="Arial"/>
          <w:sz w:val="22"/>
          <w:szCs w:val="22"/>
        </w:rPr>
        <w:t xml:space="preserve">180 jours (6 mois standard Cameroun)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W∞ : </w:t>
      </w:r>
      <w:r>
        <w:rPr>
          <w:rFonts w:ascii="Arial" w:cs="Arial" w:eastAsia="Arial" w:hAnsi="Arial"/>
          <w:sz w:val="22"/>
          <w:szCs w:val="22"/>
        </w:rPr>
        <w:t xml:space="preserve">1 200 g (laisser la valeur par defaut pour commencer)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: </w:t>
      </w:r>
      <w:r>
        <w:rPr>
          <w:rFonts w:ascii="Arial" w:cs="Arial" w:eastAsia="Arial" w:hAnsi="Arial"/>
          <w:sz w:val="22"/>
          <w:szCs w:val="22"/>
        </w:rPr>
        <w:t xml:space="preserve">0.018 (sera recalibre automatiquement)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tᵢ : </w:t>
      </w:r>
      <w:r>
        <w:rPr>
          <w:rFonts w:ascii="Arial" w:cs="Arial" w:eastAsia="Arial" w:hAnsi="Arial"/>
          <w:sz w:val="22"/>
          <w:szCs w:val="22"/>
        </w:rPr>
        <w:t xml:space="preserve">95 jours (sera recalibre automatiquement)</w:t>
      </w:r>
    </w:p>
    <w:p>
      <w:pPr>
        <w:pStyle w:val="Heading3"/>
        <w:spacing w:after="100" w:before="240"/>
      </w:pPr>
      <w:r>
        <w:t xml:space="preserve">Etape 2 — Faire des biometries regulieres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qualite de la prediction depend directement de la frequence des biometries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Intervalle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Echantillon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Acclimatation (0–15g)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7 jours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30 poissons min.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Pesee par lot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Croissance (15–150g)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10–14 jours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20 poissons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Pesee individuelle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Grossissement (150–350g)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14 jours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15 poissons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Pesee individuelle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Finition (350g+)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14–21 jours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 poissons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Pesee individuelle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MOYENNE</w:t>
            </w:r>
          </w:p>
        </w:tc>
      </w:tr>
    </w:tbl>
    <w:p>
      <w:pPr>
        <w:pStyle w:val="Heading3"/>
        <w:spacing w:after="100" w:before="240"/>
      </w:pPr>
      <w:r>
        <w:t xml:space="preserve">Etape 3 — Interpreter la courbe previsionnelle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Une fois 3+ biometries enregistrees, la courbe Gompertz calibree apparait dans le dashboard de la vague. Voici comment l'interpreter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Ecart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recommandee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Poids observe &gt; predit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&gt; +10%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Excellent ! Conditions superieures aux previsions. Verifier si la densite reste acceptable.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Poids observe ≈ predit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±10%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Dans la norme. Le modele est bien calibre. Continuer le protocole.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Poids observe &lt; predit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−10% a −25%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Retard de croissance. Verifier : temperature, qualite aliment, densite, qualite eau.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Retard critique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&lt; −25%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Probleme serieux. Investigation immediate : maladie, sous-alimentation, surdensite, pollution eau.</w:t>
            </w:r>
          </w:p>
        </w:tc>
      </w:tr>
    </w:tbl>
    <w:p>
      <w:pPr>
        <w:pStyle w:val="Heading3"/>
        <w:spacing w:after="100" w:before="240"/>
      </w:pPr>
      <w:r>
        <w:t xml:space="preserve">Etape 4 — Ajuster le modele au fil des cycles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Apres chaque cycle termine, comparer le poids final reel au poids predit par Gompertz. Si l'ecart est constant (toujours +15% ou toujours −10%), ajuster W∞ dans ConfigElevage pour les prochains cycles. Le K et tᵢ seront recalibres automatiquement a chaque nouvelle vague.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PARTIE III — Comparaison et Optimisation des Aliments</w:t>
      </w:r>
    </w:p>
    <w:p>
      <w:pPr>
        <w:pStyle w:val="Heading2"/>
        <w:spacing w:after="120" w:before="320"/>
      </w:pPr>
      <w:r>
        <w:t xml:space="preserve">3.1 Pourquoi comparer les aliments 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L'alimentation represente 60 a 70% du cout total de production du Clarias. Le choix de l'aliment a un impact direct sur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vitesse de croissance</w:t>
      </w:r>
      <w:r>
        <w:rPr>
          <w:rFonts w:ascii="Arial" w:cs="Arial" w:eastAsia="Arial" w:hAnsi="Arial"/>
          <w:sz w:val="22"/>
          <w:szCs w:val="22"/>
        </w:rPr>
        <w:t xml:space="preserve"> — un aliment de meilleure qualite augmente K dans le modele Gompertz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FCR (Feed Conversion Ratio)</w:t>
      </w:r>
      <w:r>
        <w:rPr>
          <w:rFonts w:ascii="Arial" w:cs="Arial" w:eastAsia="Arial" w:hAnsi="Arial"/>
          <w:sz w:val="22"/>
          <w:szCs w:val="22"/>
        </w:rPr>
        <w:t xml:space="preserve"> — kg d'aliment / kg de poisson produit. Plus bas = meilleur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cout par kg de poisson produit</w:t>
      </w:r>
      <w:r>
        <w:rPr>
          <w:rFonts w:ascii="Arial" w:cs="Arial" w:eastAsia="Arial" w:hAnsi="Arial"/>
          <w:sz w:val="22"/>
          <w:szCs w:val="22"/>
        </w:rPr>
        <w:t xml:space="preserve"> — l'indicateur final de rentabilite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aliment cher avec un bon FCR peut etre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plus rentable</w:t>
      </w:r>
      <w:r>
        <w:rPr>
          <w:rFonts w:ascii="Arial" w:cs="Arial" w:eastAsia="Arial" w:hAnsi="Arial"/>
          <w:sz w:val="22"/>
          <w:szCs w:val="22"/>
        </w:rPr>
        <w:t xml:space="preserve"> qu'un aliment bon marche avec un mauvais FCR. C'est pourquoi FarmFlow calcule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cout par kg de gain</w:t>
      </w:r>
      <w:r>
        <w:rPr>
          <w:rFonts w:ascii="Arial" w:cs="Arial" w:eastAsia="Arial" w:hAnsi="Arial"/>
          <w:sz w:val="22"/>
          <w:szCs w:val="22"/>
        </w:rPr>
        <w:t xml:space="preserve"> et pas seulement le prix au kilo de l'aliment.</w:t>
      </w:r>
    </w:p>
    <w:p>
      <w:pPr>
        <w:pStyle w:val="Heading2"/>
        <w:spacing w:after="120" w:before="320"/>
      </w:pPr>
      <w:r>
        <w:t xml:space="preserve">3.2 Indicateurs de comparaison dans FarmFlow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FarmFlow calcule automatiquement ces indicateurs pour chaque aliment utilise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FCR pondere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Somme quantite aliment (kg) / Somme gain biomasse (kg) — pondere par vague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&lt; 1.5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Cout par kg de gain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(quantite aliment × prix unitaire) / gain biomasse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Le plus bas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SGR moyen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(ln W2 − ln W1) / nombre jours × 100 — pendant utilisation de l'aliment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&gt; 2.5 %/j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Score qualite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Score composite ponderant FCR (40%), cout/kg gain (30%), SGR (20%), regularite (10%)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&gt; 70/100</w:t>
            </w:r>
          </w:p>
        </w:tc>
      </w:tr>
    </w:tbl>
    <w:p>
      <w:pPr>
        <w:pStyle w:val="Heading2"/>
        <w:spacing w:after="120" w:before="320"/>
      </w:pPr>
      <w:r>
        <w:t xml:space="preserve">3.3 Protocole de test comparatif d'aliments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</w:t>
      </w:r>
      <w:r>
        <w:rPr>
          <w:rFonts w:ascii="Arial" w:cs="Arial" w:eastAsia="Arial" w:hAnsi="Arial"/>
          <w:sz w:val="22"/>
          <w:szCs w:val="22"/>
        </w:rPr>
        <w:t xml:space="preserve"> determiner quel aliment offre le meilleur rapport qualite/prix pour VOTRE ferme, dans VOS conditions.</w:t>
      </w:r>
    </w:p>
    <w:p>
      <w:pPr>
        <w:pStyle w:val="Heading3"/>
        <w:spacing w:after="100" w:before="240"/>
      </w:pPr>
      <w:r>
        <w:t xml:space="preserve">Methode 1 — Comparaison entre vagues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methode la plus simple : utiliser un aliment different pour chaque vague et comparer les resultats.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Creer 2–3 vagues simultanees</w:t>
      </w:r>
      <w:r>
        <w:rPr>
          <w:rFonts w:ascii="Arial" w:cs="Arial" w:eastAsia="Arial" w:hAnsi="Arial"/>
          <w:sz w:val="22"/>
          <w:szCs w:val="22"/>
        </w:rPr>
        <w:t xml:space="preserve"> avec le meme nombre d'alevins, la meme provenance, et les memes bacs.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Assigner un aliment different</w:t>
      </w:r>
      <w:r>
        <w:rPr>
          <w:rFonts w:ascii="Arial" w:cs="Arial" w:eastAsia="Arial" w:hAnsi="Arial"/>
          <w:sz w:val="22"/>
          <w:szCs w:val="22"/>
        </w:rPr>
        <w:t xml:space="preserve"> a chaque vague. Enregistrer chaque distribution dans FarmFlow (releve ALIMENTATION avec le produitId).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Biometries simultanees</w:t>
      </w:r>
      <w:r>
        <w:rPr>
          <w:rFonts w:ascii="Arial" w:cs="Arial" w:eastAsia="Arial" w:hAnsi="Arial"/>
          <w:sz w:val="22"/>
          <w:szCs w:val="22"/>
        </w:rPr>
        <w:t xml:space="preserve"> : peser les poissons des vagues de test le meme jour pour eliminer le biais saisonnier.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mi-parcours (J90)</w:t>
      </w:r>
      <w:r>
        <w:rPr>
          <w:rFonts w:ascii="Arial" w:cs="Arial" w:eastAsia="Arial" w:hAnsi="Arial"/>
          <w:sz w:val="22"/>
          <w:szCs w:val="22"/>
        </w:rPr>
        <w:t xml:space="preserve">, analyser dans FarmFlow &gt; Analytiques &gt; Aliments : comparer les courbes Gompertz, les FCR et les couts/kg.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la recolte</w:t>
      </w:r>
      <w:r>
        <w:rPr>
          <w:rFonts w:ascii="Arial" w:cs="Arial" w:eastAsia="Arial" w:hAnsi="Arial"/>
          <w:sz w:val="22"/>
          <w:szCs w:val="22"/>
        </w:rPr>
        <w:t xml:space="preserve">, le rapport de fin de vague resume toutes les metriques. La fonction genererRecommandation() de FarmFlow produit automatiquement une recommandation textuelle.</w:t>
      </w:r>
    </w:p>
    <w:p>
      <w:pPr>
        <w:pStyle w:val="Heading3"/>
        <w:spacing w:after="100" w:before="240"/>
      </w:pPr>
      <w:r>
        <w:t xml:space="preserve">Methode 2 — Comparaison par phase au sein d'une vague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Plus avancee : changer d'aliment a une phase precise et mesurer l'impact sur le K de Gompertz.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 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 B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mesure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J0–J60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Skretting Starter 45%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Skretting Starter 45%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Meme aliment = baseline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J60–J120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Skretting Grower 38%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Aller Aqua Grower 40%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Impact sur K, FCR, cout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J120–J180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Meme pour les deux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Meme pour les deux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Effet residuel</w:t>
            </w:r>
          </w:p>
        </w:tc>
      </w:tr>
    </w:tbl>
    <w:p>
      <w:pPr>
        <w:spacing w:after="80" w:before="12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L'historique nutritionnel de FarmFlow (table HistoriqueNutritionnel) enregistre automatiquement chaque changement d'aliment avec la date et le poids moyen au moment du switch.</w:t>
      </w:r>
    </w:p>
    <w:p>
      <w:r>
        <w:br w:type="page"/>
      </w:r>
    </w:p>
    <w:p>
      <w:pPr>
        <w:pStyle w:val="Heading2"/>
        <w:spacing w:after="120" w:before="320"/>
      </w:pPr>
      <w:r>
        <w:t xml:space="preserve">3.4 Donnees a collecter pour optimiser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Pour une comparaison fiable, chaque distribution d'aliment doit etre enregistree dans FarmFlow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FarmFlow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Quantite distribuee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ReleveConsommation.quantite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Calcul FCR et cout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Produit (aliment)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ReleveConsommation.produitId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Identifier quel aliment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Date distribution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Releve.date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Lier a la phase de croissance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Prix unitaire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Produit.prixUnitaire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HAUTE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Calcul cout/kg de gain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% Proteines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Produit.proteines (a ajouter)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MOYENNE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Correlation qualite/performance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Taille granule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Produit.taille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MOYENNE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Adapter au poids moyen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Produit.fournisseurId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HAUTE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Comparer les fournisseurs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Lot / Batch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ReleveConsommation.notes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BASSE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Tracabilite qualite</w:t>
            </w:r>
          </w:p>
        </w:tc>
      </w:tr>
    </w:tbl>
    <w:p>
      <w:pPr>
        <w:pStyle w:val="Heading2"/>
        <w:spacing w:after="120" w:before="320"/>
      </w:pPr>
      <w:r>
        <w:t xml:space="preserve">3.5 Lien entre aliment et modele Gompertz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qualite de l'aliment impacte directement le parametre K du modele Gompertz. Voici comment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BDC3C7" w:sz="1"/>
              <w:right w:val="single" w:color="BDC3C7" w:sz="1"/>
            </w:tcBorders>
            <w:shd w:fill="D5F5E3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Boucle d'optimisation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OBSERVER : FarmFlow enregistre les distributions d'aliment et les biometries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CALIBRER : Le modele Gompertz se recalibre avec les nouvelles biometries → K evolue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COMPARER : Si K augmente apres un changement d'aliment → le nouvel aliment est meilleur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DECIDER : Choisir l'aliment avec le meilleur K ajuste pour le cout le plus bas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RECOMMENCER : A chaque cycle, affiner les choix avec les donnees accumulees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pratique, si vous changez d'aliment a J60 et que K passe de 0.016 a 0.019 lors du recalibrage suivant (J75), c'est un signal fort que le nouvel aliment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significativement meilleur</w:t>
      </w:r>
      <w:r>
        <w:rPr>
          <w:rFonts w:ascii="Arial" w:cs="Arial" w:eastAsia="Arial" w:hAnsi="Arial"/>
          <w:sz w:val="22"/>
          <w:szCs w:val="22"/>
        </w:rPr>
        <w:t xml:space="preserve"> pour vos conditions.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PARTIE IV — Synthese et Plan d'Action</w:t>
      </w:r>
    </w:p>
    <w:p>
      <w:pPr>
        <w:pStyle w:val="Heading2"/>
        <w:spacing w:after="120" w:before="320"/>
      </w:pPr>
      <w:r>
        <w:t xml:space="preserve">4.1 Resume des donnees essentielles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Donnees requises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Courbe Gompertz fiable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Biometries (poids moyen)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Toutes les 2 semaines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Prediction temperature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Releves qualite eau (T°C)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2x / semaine minimum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Comparaison aliments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Distributions alimentaires (produit, quantite)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chaque nourrissage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Calcul FCR / Cout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Prix aliment + gain biomasse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Automatique (FarmFlow)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Survie / mortalite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Comptages + releves mortalite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Hebdomadaire</w:t>
            </w:r>
          </w:p>
        </w:tc>
      </w:tr>
    </w:tbl>
    <w:p>
      <w:pPr>
        <w:pStyle w:val="Heading2"/>
        <w:spacing w:after="120" w:before="320"/>
      </w:pPr>
      <w:r>
        <w:t xml:space="preserve">4.2 Checklist de demarrage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Configurer ConfigElevage</w:t>
      </w:r>
      <w:r>
        <w:rPr>
          <w:rFonts w:ascii="Arial" w:cs="Arial" w:eastAsia="Arial" w:hAnsi="Arial"/>
          <w:sz w:val="22"/>
          <w:szCs w:val="22"/>
        </w:rPr>
        <w:t xml:space="preserve"> avec les parametres Gompertz par defaut (W∞=1200, K=0.018, tᵢ=95)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Enregistrer tous les produits alimentaires</w:t>
      </w:r>
      <w:r>
        <w:rPr>
          <w:rFonts w:ascii="Arial" w:cs="Arial" w:eastAsia="Arial" w:hAnsi="Arial"/>
          <w:sz w:val="22"/>
          <w:szCs w:val="22"/>
        </w:rPr>
        <w:t xml:space="preserve"> dans le stock avec prix, fournisseur, et taille granule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chaque nourrissage</w:t>
      </w:r>
      <w:r>
        <w:rPr>
          <w:rFonts w:ascii="Arial" w:cs="Arial" w:eastAsia="Arial" w:hAnsi="Arial"/>
          <w:sz w:val="22"/>
          <w:szCs w:val="22"/>
        </w:rPr>
        <w:t xml:space="preserve">, enregistrer la quantite et le produit utilise (releve ALIMENTATION)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Toutes les 2 semaines</w:t>
      </w:r>
      <w:r>
        <w:rPr>
          <w:rFonts w:ascii="Arial" w:cs="Arial" w:eastAsia="Arial" w:hAnsi="Arial"/>
          <w:sz w:val="22"/>
          <w:szCs w:val="22"/>
        </w:rPr>
        <w:t xml:space="preserve">, faire une biometrie sur 10–30 poissons (selon la phase)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2x par semaine</w:t>
      </w:r>
      <w:r>
        <w:rPr>
          <w:rFonts w:ascii="Arial" w:cs="Arial" w:eastAsia="Arial" w:hAnsi="Arial"/>
          <w:sz w:val="22"/>
          <w:szCs w:val="22"/>
        </w:rPr>
        <w:t xml:space="preserve">, mesurer la temperature de l'eau (releve QUALITE_EAU)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Apres 3 biometries (~J45)</w:t>
      </w:r>
      <w:r>
        <w:rPr>
          <w:rFonts w:ascii="Arial" w:cs="Arial" w:eastAsia="Arial" w:hAnsi="Arial"/>
          <w:sz w:val="22"/>
          <w:szCs w:val="22"/>
        </w:rPr>
        <w:t xml:space="preserve">, consulter la courbe Gompertz calibree dans le dashboard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 tester un aliment</w:t>
      </w:r>
      <w:r>
        <w:rPr>
          <w:rFonts w:ascii="Arial" w:cs="Arial" w:eastAsia="Arial" w:hAnsi="Arial"/>
          <w:sz w:val="22"/>
          <w:szCs w:val="22"/>
        </w:rPr>
        <w:t xml:space="preserve">, lancer 2 vagues paralleles avec des aliments differents et comparer les resultats dans Analytiques &gt; Aliments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chaque fin de cycle</w:t>
      </w:r>
      <w:r>
        <w:rPr>
          <w:rFonts w:ascii="Arial" w:cs="Arial" w:eastAsia="Arial" w:hAnsi="Arial"/>
          <w:sz w:val="22"/>
          <w:szCs w:val="22"/>
        </w:rPr>
        <w:t xml:space="preserve">, exporter le rapport PDF de la vague et archiver les resultats pour referentiel futur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BDC3C7" w:sz="1"/>
              <w:right w:val="single" w:color="BDC3C7" w:sz="1"/>
            </w:tcBorders>
            <w:shd w:fill="D5F5E3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OBJECTIF FINAL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suivant ce protocole et en utilisant le modele Gompertz integre a FarmFlow,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vous obtiendrez en quelques cycles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Une courbe de croissance previsionnelle fiable a ±5% pres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Un classement objectif des aliments par rentabilite reelle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 capacite de projeter votre date de recolte et vos besoins en aliment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Un referentiel propre a votre ferme, ajuste a vos conditions locales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 genere le 29 mars 2026 — FarmFlow v2.0 — DK Farm, Cameroun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FarmFlow — Guide Gompertz &amp; Optimisation Alimentaire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2026-03-29T14:23:50.327Z</dcterms:created>
  <dcterms:modified xsi:type="dcterms:W3CDTF">2026-03-29T14:23:50.328Z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