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Algorithme de calcul du FCR par aliment</w:t>
      </w:r>
    </w:p>
    <w:p>
      <w:pPr>
        <w:spacing w:after="400"/>
        <w:jc w:val="center"/>
      </w:pPr>
      <w:r>
        <w:rPr>
          <w:i/>
          <w:iCs/>
          <w:color w:val="666666"/>
          <w:sz w:val="22"/>
          <w:szCs w:val="22"/>
        </w:rPr>
        <w:t xml:space="preserve">FarmFlow — Suivi du grossissement de Clarias gariepinus</w:t>
      </w:r>
    </w:p>
    <w:p>
      <w:pPr>
        <w:pStyle w:val="Heading1"/>
      </w:pPr>
      <w:r>
        <w:t xml:space="preserve">1. Vue d'ensemble</w:t>
      </w:r>
    </w:p>
    <w:p>
      <w:pPr>
        <w:spacing w:after="120"/>
      </w:pPr>
      <w:r>
        <w:t xml:space="preserve">Cet algorithme calcule le </w:t>
      </w:r>
      <w:r>
        <w:rPr>
          <w:b/>
          <w:bCs/>
        </w:rPr>
        <w:t xml:space="preserve">taux de conversion alimentaire (FCR)</w:t>
      </w:r>
      <w:r>
        <w:t xml:space="preserve"> pour un aliment spécifique dans toutes les vagues d'un site. Il combine les données de consommation, la modélisation de croissance Gompertz et le suivi de population pour produire des valeurs de FCR par période et par vague.</w:t>
      </w:r>
    </w:p>
    <w:p>
      <w:pPr>
        <w:spacing w:after="200" w:before="200"/>
        <w:jc w:val="center"/>
      </w:pPr>
      <w:r>
        <w:rPr>
          <w:b/>
          <w:bCs/>
          <w:color w:val="1B5E20"/>
          <w:sz w:val="24"/>
          <w:szCs w:val="24"/>
        </w:rPr>
        <w:t xml:space="preserve">FCR = Aliment total consommé (kg) ÷ Gain de biomasse total (kg)</w:t>
      </w:r>
    </w:p>
    <w:p>
      <w:pPr>
        <w:pStyle w:val="Heading1"/>
      </w:pPr>
      <w:r>
        <w:t xml:space="preserve">2. Paramètres d'entrée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Paramètre</w:t>
            </w:r>
          </w:p>
        </w:tc>
        <w:tc>
          <w:tcPr>
            <w:tcW w:type="dxa" w:w="45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Exemple</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siteId</w:t>
            </w:r>
          </w:p>
        </w:tc>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Identifiant du site à analyser</w:t>
            </w:r>
          </w:p>
        </w:tc>
        <w:tc>
          <w:tcPr>
            <w:tcW w:type="dxa" w:w="2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site_dkfarm_01</w:t>
            </w:r>
          </w:p>
        </w:tc>
      </w:tr>
      <w:tr>
        <w:tc>
          <w:tcPr>
            <w:tcW w:type="dxa" w:w="20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produitId</w:t>
            </w:r>
          </w:p>
        </w:tc>
        <w:tc>
          <w:tcPr>
            <w:tcW w:type="dxa" w:w="45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L'aliment à analyser (produit + fournisseur)</w:t>
            </w:r>
          </w:p>
        </w:tc>
        <w:tc>
          <w:tcPr>
            <w:tcW w:type="dxa" w:w="286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Skretting 3mm (Priso)</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minPoints</w:t>
            </w:r>
          </w:p>
        </w:tc>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Nombre minimum de points biométriques pour le calibrage Gompertz</w:t>
            </w:r>
          </w:p>
        </w:tc>
        <w:tc>
          <w:tcPr>
            <w:tcW w:type="dxa" w:w="2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wInfinity (W∞)</w:t>
            </w:r>
          </w:p>
        </w:tc>
        <w:tc>
          <w:tcPr>
            <w:tcW w:type="dxa" w:w="45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Poids asymptotique du modèle Gompertz (g)</w:t>
            </w:r>
          </w:p>
        </w:tc>
        <w:tc>
          <w:tcPr>
            <w:tcW w:type="dxa" w:w="286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1500</w:t>
            </w:r>
          </w:p>
        </w:tc>
      </w:tr>
    </w:tbl>
    <w:p>
      <w:pPr>
        <w:pStyle w:val="Heading1"/>
      </w:pPr>
      <w:r>
        <w:t xml:space="preserve">3. Étapes de l'algorithme</w:t>
      </w:r>
    </w:p>
    <w:p>
      <w:pPr>
        <w:pStyle w:val="Heading2"/>
      </w:pPr>
      <w:r>
        <w:t xml:space="preserve">Étape 1 — Identifier les vagues concernées</w:t>
      </w:r>
    </w:p>
    <w:p>
      <w:pPr>
        <w:spacing w:after="120"/>
      </w:pPr>
      <w:r>
        <w:t xml:space="preserve">Récupérer toutes les vagues du site ayant au moins un enregistrement </w:t>
      </w:r>
      <w:r>
        <w:rPr>
          <w:b/>
          <w:bCs/>
        </w:rPr>
        <w:t xml:space="preserve">ReleveConsommation</w:t>
      </w:r>
      <w:r>
        <w:t xml:space="preserve"> pour le produitId spécifié.</w:t>
      </w:r>
    </w:p>
    <w:p>
      <w:pPr>
        <w:pStyle w:val="ListParagraph"/>
        <w:numPr>
          <w:ilvl w:val="0"/>
          <w:numId w:val="2"/>
        </w:numPr>
      </w:pPr>
      <w:r>
        <w:t xml:space="preserve">Jointure : Vague → Releve → ReleveConsommation</w:t>
      </w:r>
    </w:p>
    <w:p>
      <w:pPr>
        <w:pStyle w:val="ListParagraph"/>
        <w:numPr>
          <w:ilvl w:val="0"/>
          <w:numId w:val="2"/>
        </w:numPr>
      </w:pPr>
      <w:r>
        <w:t xml:space="preserve">Filtre : siteId du site + produitId de l'aliment cible</w:t>
      </w:r>
    </w:p>
    <w:p>
      <w:pPr>
        <w:pStyle w:val="ListParagraph"/>
        <w:numPr>
          <w:ilvl w:val="0"/>
          <w:numId w:val="2"/>
        </w:numPr>
      </w:pPr>
      <w:r>
        <w:t xml:space="preserve">Résultat : liste de vagues avec leur id, code, dateDebut, nombreInitial</w:t>
      </w:r>
    </w:p>
    <w:p>
      <w:pPr>
        <w:pStyle w:val="Heading2"/>
      </w:pPr>
      <w:r>
        <w:t xml:space="preserve">Étape 2 — Collecter les données biométriques</w:t>
      </w:r>
    </w:p>
    <w:p>
      <w:pPr>
        <w:spacing w:after="100"/>
      </w:pPr>
      <w:r>
        <w:t xml:space="preserve">Pour chaque vague identifiée :</w:t>
      </w:r>
    </w:p>
    <w:p>
      <w:pPr>
        <w:pStyle w:val="ListParagraph"/>
        <w:numPr>
          <w:ilvl w:val="0"/>
          <w:numId w:val="3"/>
        </w:numPr>
      </w:pPr>
      <w:r>
        <w:t xml:space="preserve">Récupérer tous les relevés biométriques (typeReleve = 'BIOMETRIE') de la vague.</w:t>
      </w:r>
    </w:p>
    <w:p>
      <w:pPr>
        <w:pStyle w:val="ListParagraph"/>
        <w:numPr>
          <w:ilvl w:val="0"/>
          <w:numId w:val="3"/>
        </w:numPr>
      </w:pPr>
      <w:r>
        <w:t xml:space="preserve">Calculer la moyenne du poidsMoyen par jour sur l'ensemble des bacs.</w:t>
      </w:r>
    </w:p>
    <w:p>
      <w:pPr>
        <w:pStyle w:val="ListParagraph"/>
        <w:numPr>
          <w:ilvl w:val="0"/>
          <w:numId w:val="3"/>
        </w:numPr>
      </w:pPr>
      <w:r>
        <w:t xml:space="preserve">Convertir en points : { jour: nombre de jours depuis dateDebut, poidsMoyen: poids moyen (g) }</w:t>
      </w:r>
    </w:p>
    <w:p>
      <w:pPr>
        <w:spacing w:after="100" w:before="100"/>
      </w:pPr>
      <w:r>
        <w:rPr>
          <w:b/>
          <w:bCs/>
        </w:rPr>
        <w:t xml:space="preserve">Exigence : </w:t>
      </w:r>
      <w:r>
        <w:t xml:space="preserve">au moins </w:t>
      </w:r>
      <w:r>
        <w:rPr>
          <w:b/>
          <w:bCs/>
        </w:rPr>
        <w:t xml:space="preserve">minPoints</w:t>
      </w:r>
      <w:r>
        <w:t xml:space="preserve"> points biométriques. Si moins de points existent, la vague est ignorée et signalée INSUFFICIENT_DATA.</w:t>
      </w:r>
    </w:p>
    <w:p>
      <w:pPr>
        <w:pStyle w:val="Heading2"/>
      </w:pPr>
      <w:r>
        <w:t xml:space="preserve">Étape 3 — Calibrage Gompertz</w:t>
      </w:r>
    </w:p>
    <w:p>
      <w:pPr>
        <w:spacing w:after="100"/>
      </w:pPr>
      <w:r>
        <w:t xml:space="preserve">Ajuster le modèle de croissance Gompertz sur les points biométriques :</w:t>
      </w:r>
    </w:p>
    <w:p>
      <w:pPr>
        <w:spacing w:after="120" w:before="120"/>
        <w:jc w:val="center"/>
      </w:pPr>
      <w:r>
        <w:rPr>
          <w:b/>
          <w:bCs/>
          <w:sz w:val="24"/>
          <w:szCs w:val="24"/>
        </w:rPr>
        <w:t xml:space="preserve">W(t) = W∞ × exp(−exp(−K × (t − ti)))</w:t>
      </w:r>
    </w:p>
    <w:p>
      <w:pPr>
        <w:spacing w:after="60"/>
      </w:pPr>
      <w:r>
        <w:rPr>
          <w:b/>
          <w:bCs/>
        </w:rPr>
        <w:t xml:space="preserve">Paramètres :</w:t>
      </w:r>
    </w:p>
    <w:p>
      <w:pPr>
        <w:pStyle w:val="ListParagraph"/>
        <w:numPr>
          <w:ilvl w:val="0"/>
          <w:numId w:val="2"/>
        </w:numPr>
      </w:pPr>
      <w:r>
        <w:rPr>
          <w:b/>
          <w:bCs/>
        </w:rPr>
        <w:t xml:space="preserve">W∞</w:t>
      </w:r>
      <w:r>
        <w:t xml:space="preserve"> = poids asymptotique (g) — fourni en entrée (ex : 1500g)</w:t>
      </w:r>
    </w:p>
    <w:p>
      <w:pPr>
        <w:pStyle w:val="ListParagraph"/>
        <w:numPr>
          <w:ilvl w:val="0"/>
          <w:numId w:val="2"/>
        </w:numPr>
      </w:pPr>
      <w:r>
        <w:rPr>
          <w:b/>
          <w:bCs/>
        </w:rPr>
        <w:t xml:space="preserve">K</w:t>
      </w:r>
      <w:r>
        <w:t xml:space="preserve"> = constante de croissance (jour⁻¹) — ajustée par Levenberg-Marquardt</w:t>
      </w:r>
    </w:p>
    <w:p>
      <w:pPr>
        <w:pStyle w:val="ListParagraph"/>
        <w:numPr>
          <w:ilvl w:val="0"/>
          <w:numId w:val="2"/>
        </w:numPr>
      </w:pPr>
      <w:r>
        <w:rPr>
          <w:b/>
          <w:bCs/>
        </w:rPr>
        <w:t xml:space="preserve">ti</w:t>
      </w:r>
      <w:r>
        <w:t xml:space="preserve"> = point d'inflexion (jours) — ajusté par Levenberg-Marquardt</w:t>
      </w:r>
    </w:p>
    <w:p>
      <w:pPr>
        <w:spacing w:after="100" w:before="100"/>
      </w:pPr>
      <w:r>
        <w:t xml:space="preserve">Le calibrage utilise W∞ comme estimation initiale </w:t>
      </w:r>
      <w:r>
        <w:rPr>
          <w:b/>
          <w:bCs/>
        </w:rPr>
        <w:t xml:space="preserve">et plafond supérieur</w:t>
      </w:r>
      <w:r>
        <w:t xml:space="preserve">, garantissant que le solveur respecte le maximum biologique de la ferme.</w:t>
      </w:r>
    </w:p>
    <w:p>
      <w:pPr>
        <w:spacing w:after="60"/>
      </w:pPr>
      <w:r>
        <w:rPr>
          <w:b/>
          <w:bCs/>
        </w:rPr>
        <w:t xml:space="preserve">Sortie :</w:t>
      </w:r>
    </w:p>
    <w:p>
      <w:pPr>
        <w:pStyle w:val="ListParagraph"/>
        <w:numPr>
          <w:ilvl w:val="0"/>
          <w:numId w:val="2"/>
        </w:numPr>
      </w:pPr>
      <w:r>
        <w:t xml:space="preserve">Paramètres ajustés : { wInfinity, k, ti }</w:t>
      </w:r>
    </w:p>
    <w:p>
      <w:pPr>
        <w:pStyle w:val="ListParagraph"/>
        <w:numPr>
          <w:ilvl w:val="0"/>
          <w:numId w:val="2"/>
        </w:numPr>
      </w:pPr>
      <w:r>
        <w:t xml:space="preserve">R² (coefficient de détermination)</w:t>
      </w:r>
    </w:p>
    <w:p>
      <w:pPr>
        <w:pStyle w:val="ListParagraph"/>
        <w:numPr>
          <w:ilvl w:val="0"/>
          <w:numId w:val="2"/>
        </w:numPr>
      </w:pPr>
      <w:r>
        <w:t xml:space="preserve">RMSE (erreur quadratique moyenne en grammes)</w:t>
      </w:r>
    </w:p>
    <w:p>
      <w:pPr>
        <w:pStyle w:val="ListParagraph"/>
        <w:numPr>
          <w:ilvl w:val="0"/>
          <w:numId w:val="2"/>
        </w:numPr>
      </w:pPr>
      <w:r>
        <w:t xml:space="preserve">Niveau de confiance : INSUFFICIENT_DATA | LOW | MEDIUM | HIGH</w:t>
      </w:r>
    </w:p>
    <w:p>
      <w:pPr>
        <w:pStyle w:val="Heading2"/>
      </w:pPr>
      <w:r>
        <w:t xml:space="preserve">Étape 4 — Générer le tableau de poids et gain quotidiens</w:t>
      </w:r>
    </w:p>
    <w:p>
      <w:pPr>
        <w:spacing w:after="100"/>
      </w:pPr>
      <w:r>
        <w:t xml:space="preserve">En utilisant les paramètres Gompertz ajustés, calculer le poids prédit et le gain quotidien pour chaque jour de la période de consommation :</w:t>
      </w:r>
    </w:p>
    <w:p>
      <w:pPr>
        <w:spacing w:after="80" w:before="80"/>
        <w:ind w:left="720"/>
      </w:pPr>
      <w:r>
        <w:rPr>
          <w:rFonts w:ascii="Courier New" w:cs="Courier New" w:eastAsia="Courier New" w:hAnsi="Courier New"/>
          <w:sz w:val="20"/>
          <w:szCs w:val="20"/>
        </w:rPr>
        <w:t xml:space="preserve">poids(t) = W∞ × exp(−exp(−K × (t − ti)))</w:t>
      </w:r>
    </w:p>
    <w:p>
      <w:pPr>
        <w:spacing w:after="120"/>
        <w:ind w:left="720"/>
      </w:pPr>
      <w:r>
        <w:rPr>
          <w:rFonts w:ascii="Courier New" w:cs="Courier New" w:eastAsia="Courier New" w:hAnsi="Courier New"/>
          <w:sz w:val="20"/>
          <w:szCs w:val="20"/>
        </w:rPr>
        <w:t xml:space="preserve">gainQuotidien(t) = poids(t) − poids(t − 1)</w:t>
      </w:r>
    </w:p>
    <w:p>
      <w:pPr>
        <w:pStyle w:val="Heading2"/>
      </w:pPr>
      <w:r>
        <w:t xml:space="preserve">Étape 5 — Identifier les périodes de consommation par bac</w:t>
      </w:r>
    </w:p>
    <w:p>
      <w:pPr>
        <w:shd w:fill="FFF3E0" w:val="clear"/>
        <w:spacing w:after="100" w:before="100"/>
        <w:ind w:left="360" w:right="360"/>
      </w:pPr>
      <w:r>
        <w:rPr>
          <w:b/>
          <w:bCs/>
          <w:color w:val="E65100"/>
        </w:rPr>
        <w:t xml:space="preserve">⚠ Important : </w:t>
      </w:r>
      <w:r>
        <w:rPr>
          <w:color w:val="E65100"/>
        </w:rPr>
        <w:t xml:space="preserve">Ne PAS partir des bacs actuellement assignés à la vague (Bac.vagueId). Un bac peut avoir été désassigné après un calibrage (ex : poissons transférés dans un autre bac), mais ses données de consommation avant le calibrage appartiennent toujours à cette vague. Il faut donc </w:t>
      </w:r>
      <w:r>
        <w:rPr>
          <w:b/>
          <w:bCs/>
          <w:color w:val="E65100"/>
        </w:rPr>
        <w:t xml:space="preserve">partir des enregistrements ReleveConsommation</w:t>
      </w:r>
      <w:r>
        <w:rPr>
          <w:color w:val="E65100"/>
        </w:rPr>
        <w:t xml:space="preserve"> pour découvrir quels bacs ont consommé l'aliment cible.</w:t>
      </w:r>
    </w:p>
    <w:p>
      <w:pPr>
        <w:pStyle w:val="ListParagraph"/>
        <w:numPr>
          <w:ilvl w:val="0"/>
          <w:numId w:val="4"/>
        </w:numPr>
      </w:pPr>
      <w:r>
        <w:rPr>
          <w:b/>
          <w:bCs/>
        </w:rPr>
        <w:t xml:space="preserve">Requêter tous les enregistrements de consommation</w:t>
      </w:r>
      <w:r>
        <w:t xml:space="preserve"> de l'aliment cible dans cette vague : jointure ReleveConsommation → Releve (filtré par vagueId et produitId) → Bac (via Releve.bacId). Cela retourne tous les bacs ayant consommé l'aliment, y compris ceux qui ne sont plus assignés à la vague.</w:t>
      </w:r>
    </w:p>
    <w:p>
      <w:pPr>
        <w:pStyle w:val="ListParagraph"/>
        <w:numPr>
          <w:ilvl w:val="0"/>
          <w:numId w:val="4"/>
        </w:numPr>
      </w:pPr>
      <w:r>
        <w:rPr>
          <w:b/>
          <w:bCs/>
        </w:rPr>
        <w:t xml:space="preserve">Pour chaque bac découvert</w:t>
      </w:r>
      <w:r>
        <w:t xml:space="preserve">, trouver tous les jours où l'aliment cible a été consommé.</w:t>
      </w:r>
    </w:p>
    <w:p>
      <w:pPr>
        <w:pStyle w:val="ListParagraph"/>
        <w:numPr>
          <w:ilvl w:val="0"/>
          <w:numId w:val="4"/>
        </w:numPr>
      </w:pPr>
      <w:r>
        <w:rPr>
          <w:b/>
          <w:bCs/>
        </w:rPr>
        <w:t xml:space="preserve">Classifier chaque jour :</w:t>
      </w:r>
    </w:p>
    <w:p>
      <w:pPr>
        <w:ind w:left="1440"/>
      </w:pPr>
      <w:r>
        <w:rPr>
          <w:b/>
          <w:bCs/>
        </w:rPr>
        <w:t xml:space="preserve">Jour exclusif : </w:t>
      </w:r>
      <w:r>
        <w:t xml:space="preserve">aucun autre aliment n'a été consommé ce jour dans ce bac.</w:t>
      </w:r>
    </w:p>
    <w:p>
      <w:pPr>
        <w:ind w:left="1440"/>
      </w:pPr>
      <w:r>
        <w:rPr>
          <w:b/>
          <w:bCs/>
        </w:rPr>
        <w:t xml:space="preserve">Jour mixte : </w:t>
      </w:r>
      <w:r>
        <w:t xml:space="preserve">d'autres aliments ont aussi été consommés ce jour (erreur nutritionnelle).</w:t>
      </w:r>
    </w:p>
    <w:p>
      <w:pPr>
        <w:pStyle w:val="ListParagraph"/>
        <w:numPr>
          <w:ilvl w:val="0"/>
          <w:numId w:val="4"/>
        </w:numPr>
      </w:pPr>
      <w:r>
        <w:rPr>
          <w:b/>
          <w:bCs/>
        </w:rPr>
        <w:t xml:space="preserve">Grouper les jours exclusifs consécutifs</w:t>
      </w:r>
      <w:r>
        <w:t xml:space="preserve"> en périodes par détection de rupture.</w:t>
      </w:r>
    </w:p>
    <w:p>
      <w:pPr>
        <w:pStyle w:val="ListParagraph"/>
        <w:numPr>
          <w:ilvl w:val="0"/>
          <w:numId w:val="4"/>
        </w:numPr>
      </w:pPr>
      <w:r>
        <w:rPr>
          <w:b/>
          <w:bCs/>
        </w:rPr>
        <w:t xml:space="preserve">Rattacher les jours mixtes</w:t>
      </w:r>
      <w:r>
        <w:t xml:space="preserve"> à la période adjacente la plus proche. Les jours mixtes représentent des erreurs nutritionnelles et leur consommation est attribuée au FCR de l'aliment cible.</w:t>
      </w:r>
    </w:p>
    <w:p>
      <w:pPr>
        <w:spacing w:after="100" w:before="100"/>
      </w:pPr>
      <w:r>
        <w:rPr>
          <w:b/>
          <w:bCs/>
          <w:color w:val="C62828"/>
        </w:rPr>
        <w:t xml:space="preserve">Vérification : </w:t>
      </w:r>
      <w:r>
        <w:t xml:space="preserve">la somme des quantités de toutes les périodes d'un bac doit être égale à la consommation totale de l'aliment dans ce bac.</w:t>
      </w:r>
    </w:p>
    <w:p>
      <w:pPr>
        <w:shd w:fill="E8F5E9" w:val="clear"/>
        <w:spacing w:after="60" w:before="60"/>
        <w:ind w:left="360" w:right="360"/>
      </w:pPr>
      <w:r>
        <w:rPr>
          <w:b/>
          <w:bCs/>
          <w:color w:val="1B5E20"/>
        </w:rPr>
        <w:t xml:space="preserve">Exemple : </w:t>
      </w:r>
      <w:r>
        <w:rPr>
          <w:color w:val="1B5E20"/>
        </w:rPr>
        <w:t xml:space="preserve">La vague 26-01 a actuellement les Bacs 01, 02, 04 assignés. Mais le Bac 03 a consommé du Skretting 3mm du 22 au 25 mars avant d'être vidé le 26 mars (poissons transférés au Bac 04). En partant des ReleveConsommation, on inclut correctement les 18 kg de consommation du Bac 03.</w:t>
      </w:r>
    </w:p>
    <w:p>
      <w:pPr>
        <w:pStyle w:val="Heading2"/>
      </w:pPr>
      <w:r>
        <w:t xml:space="preserve">Étape 6 — Estimer le nombre de poissons par bac et par période</w:t>
      </w:r>
    </w:p>
    <w:p>
      <w:pPr>
        <w:spacing w:after="100"/>
      </w:pPr>
      <w:r>
        <w:t xml:space="preserve">Le nombre de poissons est nécessaire pour convertir le gain de poids par poisson (g) en gain de biomasse (kg).</w:t>
      </w:r>
    </w:p>
    <w:p>
      <w:pPr>
        <w:spacing w:after="60"/>
      </w:pPr>
      <w:r>
        <w:rPr>
          <w:b/>
          <w:bCs/>
        </w:rPr>
        <w:t xml:space="preserve">Méthode — Ancrage + Ajustement par mortalité :</w:t>
      </w:r>
    </w:p>
    <w:p>
      <w:pPr>
        <w:pStyle w:val="ListParagraph"/>
        <w:numPr>
          <w:ilvl w:val="0"/>
          <w:numId w:val="5"/>
        </w:numPr>
      </w:pPr>
      <w:r>
        <w:rPr>
          <w:b/>
          <w:bCs/>
        </w:rPr>
        <w:t xml:space="preserve">Ancrage : </w:t>
      </w:r>
      <w:r>
        <w:t xml:space="preserve">utiliser le relevé de COMPTAGE le plus récent comme référence pour chaque bac.</w:t>
      </w:r>
    </w:p>
    <w:p>
      <w:pPr>
        <w:pStyle w:val="ListParagraph"/>
        <w:numPr>
          <w:ilvl w:val="0"/>
          <w:numId w:val="5"/>
        </w:numPr>
      </w:pPr>
      <w:r>
        <w:rPr>
          <w:b/>
          <w:bCs/>
        </w:rPr>
        <w:t xml:space="preserve">Ajustement vers l'avant : </w:t>
      </w:r>
      <w:r>
        <w:t xml:space="preserve">soustraire la mortalité cumulée (relevés MORTALITE) après la date de comptage.</w:t>
      </w:r>
    </w:p>
    <w:p>
      <w:pPr>
        <w:pStyle w:val="ListParagraph"/>
        <w:numPr>
          <w:ilvl w:val="0"/>
          <w:numId w:val="5"/>
        </w:numPr>
      </w:pPr>
      <w:r>
        <w:rPr>
          <w:b/>
          <w:bCs/>
        </w:rPr>
        <w:t xml:space="preserve">Ajustement vers l'arrière : </w:t>
      </w:r>
      <w:r>
        <w:t xml:space="preserve">ajouter la mortalité cumulée avant la date de comptage.</w:t>
      </w:r>
    </w:p>
    <w:p>
      <w:pPr>
        <w:pStyle w:val="ListParagraph"/>
        <w:numPr>
          <w:ilvl w:val="0"/>
          <w:numId w:val="5"/>
        </w:numPr>
      </w:pPr>
      <w:r>
        <w:rPr>
          <w:b/>
          <w:bCs/>
        </w:rPr>
        <w:t xml:space="preserve">Moyenne : </w:t>
      </w:r>
      <w:r>
        <w:t xml:space="preserve">utiliser le nombre moyen de poissons sur la période = (début + fin) / 2.</w:t>
      </w:r>
    </w:p>
    <w:p>
      <w:pPr>
        <w:spacing w:after="60" w:before="100"/>
      </w:pPr>
      <w:r>
        <w:rPr>
          <w:b/>
          <w:bCs/>
        </w:rPr>
        <w:t xml:space="preserve">Cas particuliers :</w:t>
      </w:r>
    </w:p>
    <w:p>
      <w:pPr>
        <w:pStyle w:val="ListParagraph"/>
        <w:numPr>
          <w:ilvl w:val="0"/>
          <w:numId w:val="2"/>
        </w:numPr>
      </w:pPr>
      <w:r>
        <w:rPr>
          <w:b/>
          <w:bCs/>
        </w:rPr>
        <w:t xml:space="preserve">Bac vidé (comptage = 0) : </w:t>
      </w:r>
      <w:r>
        <w:t xml:space="preserve">les poissons ont été transférés. Reconstituer : comptage destination + mortalité cumulée.</w:t>
      </w:r>
    </w:p>
    <w:p>
      <w:pPr>
        <w:pStyle w:val="ListParagraph"/>
        <w:numPr>
          <w:ilvl w:val="0"/>
          <w:numId w:val="2"/>
        </w:numPr>
      </w:pPr>
      <w:r>
        <w:rPr>
          <w:b/>
          <w:bCs/>
        </w:rPr>
        <w:t xml:space="preserve">Pas de données de comptage : </w:t>
      </w:r>
      <w:r>
        <w:t xml:space="preserve">répartition proportionnelle de vague.nombreInitial entre les bacs, moins la mortalité cumulée.</w:t>
      </w:r>
    </w:p>
    <w:p>
      <w:pPr>
        <w:pStyle w:val="Heading2"/>
      </w:pPr>
      <w:r>
        <w:t xml:space="preserve">Étape 7 — Calculer le FCR par période</w:t>
      </w:r>
    </w:p>
    <w:p>
      <w:pPr>
        <w:spacing w:after="80"/>
      </w:pPr>
      <w:r>
        <w:t xml:space="preserve">Pour chaque période de chaque bac :</w:t>
      </w:r>
    </w:p>
    <w:p>
      <w:pPr>
        <w:ind w:left="720"/>
      </w:pPr>
      <w:r>
        <w:rPr>
          <w:rFonts w:ascii="Courier New" w:cs="Courier New" w:eastAsia="Courier New" w:hAnsi="Courier New"/>
          <w:sz w:val="20"/>
          <w:szCs w:val="20"/>
        </w:rPr>
        <w:t xml:space="preserve">gain_poids_par_poisson = Σ gainQuotidien(t) pour chaque jour t de la période</w:t>
      </w:r>
    </w:p>
    <w:p>
      <w:pPr>
        <w:ind w:left="720"/>
      </w:pPr>
      <w:r>
        <w:rPr>
          <w:rFonts w:ascii="Courier New" w:cs="Courier New" w:eastAsia="Courier New" w:hAnsi="Courier New"/>
          <w:sz w:val="20"/>
          <w:szCs w:val="20"/>
        </w:rPr>
        <w:t xml:space="preserve">gain_biomasse_kg = gain_poids_par_poisson × nb_poissons_moyen / 1000</w:t>
      </w:r>
    </w:p>
    <w:p>
      <w:pPr>
        <w:spacing w:after="120"/>
        <w:ind w:left="720"/>
      </w:pPr>
      <w:r>
        <w:rPr>
          <w:rFonts w:ascii="Courier New" w:cs="Courier New" w:eastAsia="Courier New" w:hAnsi="Courier New"/>
          <w:b/>
          <w:bCs/>
          <w:sz w:val="20"/>
          <w:szCs w:val="20"/>
        </w:rPr>
        <w:t xml:space="preserve">FCR = qty_aliment_cible_kg / gain_biomasse_kg</w:t>
      </w:r>
    </w:p>
    <w:p>
      <w:pPr>
        <w:pStyle w:val="Heading2"/>
      </w:pPr>
      <w:r>
        <w:t xml:space="preserve">Étape 8 — Agréger le FCR par vague</w:t>
      </w:r>
    </w:p>
    <w:p>
      <w:pPr>
        <w:ind w:left="720"/>
      </w:pPr>
      <w:r>
        <w:rPr>
          <w:rFonts w:ascii="Courier New" w:cs="Courier New" w:eastAsia="Courier New" w:hAnsi="Courier New"/>
          <w:sz w:val="20"/>
          <w:szCs w:val="20"/>
        </w:rPr>
        <w:t xml:space="preserve">total_aliment_kg = Σ qty de toutes les périodes et bacs</w:t>
      </w:r>
    </w:p>
    <w:p>
      <w:pPr>
        <w:ind w:left="720"/>
      </w:pPr>
      <w:r>
        <w:rPr>
          <w:rFonts w:ascii="Courier New" w:cs="Courier New" w:eastAsia="Courier New" w:hAnsi="Courier New"/>
          <w:sz w:val="20"/>
          <w:szCs w:val="20"/>
        </w:rPr>
        <w:t xml:space="preserve">total_biomasse_kg = Σ gain_biomasse de toutes les périodes et bacs</w:t>
      </w:r>
    </w:p>
    <w:p>
      <w:pPr>
        <w:spacing w:after="120"/>
        <w:ind w:left="720"/>
      </w:pPr>
      <w:r>
        <w:rPr>
          <w:rFonts w:ascii="Courier New" w:cs="Courier New" w:eastAsia="Courier New" w:hAnsi="Courier New"/>
          <w:b/>
          <w:bCs/>
          <w:sz w:val="20"/>
          <w:szCs w:val="20"/>
        </w:rPr>
        <w:t xml:space="preserve">FCR_vague = total_aliment_kg / total_biomasse_kg</w:t>
      </w:r>
    </w:p>
    <w:p>
      <w:r>
        <w:br w:type="page"/>
      </w:r>
    </w:p>
    <w:p>
      <w:pPr>
        <w:pStyle w:val="Heading1"/>
      </w:pPr>
      <w:r>
        <w:t xml:space="preserve">4. Exemple de sortie — Vague 26-01, Skretting 3mm</w:t>
      </w:r>
    </w:p>
    <w:p>
      <w:pPr>
        <w:spacing w:after="60"/>
      </w:pPr>
      <w:r>
        <w:rPr>
          <w:b/>
          <w:bCs/>
        </w:rPr>
        <w:t xml:space="preserve">Paramètres Gompertz calibrés : </w:t>
      </w:r>
      <w:r>
        <w:t xml:space="preserve">W∞ = 1500g, K = 0.0187 jour⁻¹, ti = 73.5 jours, R² = 0.989</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800"/>
        <w:gridCol w:w="1200"/>
        <w:gridCol w:w="1100"/>
        <w:gridCol w:w="1000"/>
        <w:gridCol w:w="1200"/>
        <w:gridCol w:w="1160"/>
      </w:tblGrid>
      <w:tr>
        <w:trPr>
          <w:tblHeader/>
        </w:trPr>
        <w:tc>
          <w:tcPr>
            <w:tcW w:type="dxa" w:w="11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Bac</w:t>
            </w:r>
          </w:p>
        </w:tc>
        <w:tc>
          <w:tcPr>
            <w:tcW w:type="dxa" w:w="18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Période</w:t>
            </w:r>
          </w:p>
        </w:tc>
        <w:tc>
          <w:tcPr>
            <w:tcW w:type="dxa" w:w="8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Jours</w:t>
            </w:r>
          </w:p>
        </w:tc>
        <w:tc>
          <w:tcPr>
            <w:tcW w:type="dxa" w:w="12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Qty 3mm (kg)</w:t>
            </w:r>
          </w:p>
        </w:tc>
        <w:tc>
          <w:tcPr>
            <w:tcW w:type="dxa" w:w="11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Gain/poisson (g)</w:t>
            </w:r>
          </w:p>
        </w:tc>
        <w:tc>
          <w:tcPr>
            <w:tcW w:type="dxa" w:w="10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Nb poissons</w:t>
            </w:r>
          </w:p>
        </w:tc>
        <w:tc>
          <w:tcPr>
            <w:tcW w:type="dxa" w:w="12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Biomasse (kg)</w:t>
            </w:r>
          </w:p>
        </w:tc>
        <w:tc>
          <w:tcPr>
            <w:tcW w:type="dxa" w:w="116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FCR</w:t>
            </w:r>
          </w:p>
        </w:tc>
      </w:tr>
      <w:tr>
        <w:tc>
          <w:tcPr>
            <w:tcW w:type="dxa" w:w="1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Bac 01</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21–22 mars</w:t>
            </w:r>
          </w:p>
        </w:tc>
        <w:tc>
          <w:tcPr>
            <w:tcW w:type="dxa" w:w="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3,30</w:t>
            </w:r>
          </w:p>
        </w:tc>
        <w:tc>
          <w:tcPr>
            <w:tcW w:type="dxa" w:w="11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6,95</w:t>
            </w:r>
          </w:p>
        </w:tc>
        <w:tc>
          <w:tcPr>
            <w:tcW w:type="dxa" w:w="10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2 304</w:t>
            </w:r>
          </w:p>
        </w:tc>
        <w:tc>
          <w:tcPr>
            <w:tcW w:type="dxa" w:w="12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16,01</w:t>
            </w:r>
          </w:p>
        </w:tc>
        <w:tc>
          <w:tcPr>
            <w:tcW w:type="dxa" w:w="116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sz w:val="20"/>
                <w:szCs w:val="20"/>
              </w:rPr>
              <w:t xml:space="preserve">0,21</w:t>
            </w:r>
          </w:p>
        </w:tc>
      </w:tr>
      <w:tr>
        <w:tc>
          <w:tcPr>
            <w:tcW w:type="dxa" w:w="11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Bac 01</w:t>
            </w:r>
          </w:p>
        </w:tc>
        <w:tc>
          <w:tcPr>
            <w:tcW w:type="dxa" w:w="18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24–29 mars</w:t>
            </w:r>
          </w:p>
        </w:tc>
        <w:tc>
          <w:tcPr>
            <w:tcW w:type="dxa" w:w="800"/>
            <w:tcBorders>
              <w:top w:val="single" w:color="CCCCCC" w:sz="1"/>
              <w:left w:val="single" w:color="CCCCCC" w:sz="1"/>
              <w:bottom w:val="single" w:color="CCCCCC" w:sz="1"/>
              <w:right w:val="single" w:color="CCCCCC" w:sz="1"/>
            </w:tcBorders>
            <w:shd w:fill="F5F5F5" w:val="clear"/>
            <w:vAlign w:val="center"/>
          </w:tcPr>
          <w:p>
            <w:pPr>
              <w:spacing w:after="40" w:before="40"/>
              <w:jc w:val="center"/>
            </w:pPr>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31,15</w:t>
            </w:r>
          </w:p>
        </w:tc>
        <w:tc>
          <w:tcPr>
            <w:tcW w:type="dxa" w:w="11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25,41</w:t>
            </w:r>
          </w:p>
        </w:tc>
        <w:tc>
          <w:tcPr>
            <w:tcW w:type="dxa" w:w="10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2 299</w:t>
            </w:r>
          </w:p>
        </w:tc>
        <w:tc>
          <w:tcPr>
            <w:tcW w:type="dxa" w:w="12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58,42</w:t>
            </w:r>
          </w:p>
        </w:tc>
        <w:tc>
          <w:tcPr>
            <w:tcW w:type="dxa" w:w="1160"/>
            <w:tcBorders>
              <w:top w:val="single" w:color="CCCCCC" w:sz="1"/>
              <w:left w:val="single" w:color="CCCCCC" w:sz="1"/>
              <w:bottom w:val="single" w:color="CCCCCC" w:sz="1"/>
              <w:right w:val="single" w:color="CCCCCC" w:sz="1"/>
            </w:tcBorders>
            <w:shd w:fill="F5F5F5" w:val="clear"/>
            <w:vAlign w:val="center"/>
          </w:tcPr>
          <w:p>
            <w:pPr>
              <w:spacing w:after="40" w:before="40"/>
              <w:jc w:val="center"/>
            </w:pPr>
            <w:r>
              <w:rPr>
                <w:rFonts w:ascii="Arial" w:cs="Arial" w:eastAsia="Arial" w:hAnsi="Arial"/>
                <w:b/>
                <w:bCs/>
                <w:sz w:val="20"/>
                <w:szCs w:val="20"/>
              </w:rPr>
              <w:t xml:space="preserve">0,53</w:t>
            </w:r>
          </w:p>
        </w:tc>
      </w:tr>
      <w:tr>
        <w:tc>
          <w:tcPr>
            <w:tcW w:type="dxa" w:w="1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Bac 01</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1–4 avril</w:t>
            </w:r>
          </w:p>
        </w:tc>
        <w:tc>
          <w:tcPr>
            <w:tcW w:type="dxa" w:w="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40,60</w:t>
            </w:r>
          </w:p>
        </w:tc>
        <w:tc>
          <w:tcPr>
            <w:tcW w:type="dxa" w:w="11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21,40</w:t>
            </w:r>
          </w:p>
        </w:tc>
        <w:tc>
          <w:tcPr>
            <w:tcW w:type="dxa" w:w="10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2 284</w:t>
            </w:r>
          </w:p>
        </w:tc>
        <w:tc>
          <w:tcPr>
            <w:tcW w:type="dxa" w:w="12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48,88</w:t>
            </w:r>
          </w:p>
        </w:tc>
        <w:tc>
          <w:tcPr>
            <w:tcW w:type="dxa" w:w="116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sz w:val="20"/>
                <w:szCs w:val="20"/>
              </w:rPr>
              <w:t xml:space="preserve">0,83</w:t>
            </w:r>
          </w:p>
        </w:tc>
      </w:tr>
      <w:tr>
        <w:tc>
          <w:tcPr>
            <w:tcW w:type="dxa" w:w="11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Bac 02</w:t>
            </w:r>
          </w:p>
        </w:tc>
        <w:tc>
          <w:tcPr>
            <w:tcW w:type="dxa" w:w="18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22 mars – 4 avril</w:t>
            </w:r>
          </w:p>
        </w:tc>
        <w:tc>
          <w:tcPr>
            <w:tcW w:type="dxa" w:w="800"/>
            <w:tcBorders>
              <w:top w:val="single" w:color="CCCCCC" w:sz="1"/>
              <w:left w:val="single" w:color="CCCCCC" w:sz="1"/>
              <w:bottom w:val="single" w:color="CCCCCC" w:sz="1"/>
              <w:right w:val="single" w:color="CCCCCC" w:sz="1"/>
            </w:tcBorders>
            <w:shd w:fill="F5F5F5" w:val="clear"/>
            <w:vAlign w:val="center"/>
          </w:tcPr>
          <w:p>
            <w:pPr>
              <w:spacing w:after="40" w:before="40"/>
              <w:jc w:val="center"/>
            </w:pPr>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99,23</w:t>
            </w:r>
          </w:p>
        </w:tc>
        <w:tc>
          <w:tcPr>
            <w:tcW w:type="dxa" w:w="11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60,83</w:t>
            </w:r>
          </w:p>
        </w:tc>
        <w:tc>
          <w:tcPr>
            <w:tcW w:type="dxa" w:w="10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2 798</w:t>
            </w:r>
          </w:p>
        </w:tc>
        <w:tc>
          <w:tcPr>
            <w:tcW w:type="dxa" w:w="12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170,24</w:t>
            </w:r>
          </w:p>
        </w:tc>
        <w:tc>
          <w:tcPr>
            <w:tcW w:type="dxa" w:w="1160"/>
            <w:tcBorders>
              <w:top w:val="single" w:color="CCCCCC" w:sz="1"/>
              <w:left w:val="single" w:color="CCCCCC" w:sz="1"/>
              <w:bottom w:val="single" w:color="CCCCCC" w:sz="1"/>
              <w:right w:val="single" w:color="CCCCCC" w:sz="1"/>
            </w:tcBorders>
            <w:shd w:fill="F5F5F5" w:val="clear"/>
            <w:vAlign w:val="center"/>
          </w:tcPr>
          <w:p>
            <w:pPr>
              <w:spacing w:after="40" w:before="40"/>
              <w:jc w:val="center"/>
            </w:pPr>
            <w:r>
              <w:rPr>
                <w:rFonts w:ascii="Arial" w:cs="Arial" w:eastAsia="Arial" w:hAnsi="Arial"/>
                <w:b/>
                <w:bCs/>
                <w:sz w:val="20"/>
                <w:szCs w:val="20"/>
              </w:rPr>
              <w:t xml:space="preserve">0,58</w:t>
            </w:r>
          </w:p>
        </w:tc>
      </w:tr>
      <w:tr>
        <w:tc>
          <w:tcPr>
            <w:tcW w:type="dxa" w:w="1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i/>
                <w:iCs/>
                <w:sz w:val="20"/>
                <w:szCs w:val="20"/>
              </w:rPr>
              <w:t xml:space="preserve">Bac 03 *</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22–25 mars</w:t>
            </w:r>
          </w:p>
        </w:tc>
        <w:tc>
          <w:tcPr>
            <w:tcW w:type="dxa" w:w="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18,00</w:t>
            </w:r>
          </w:p>
        </w:tc>
        <w:tc>
          <w:tcPr>
            <w:tcW w:type="dxa" w:w="11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15,09</w:t>
            </w:r>
          </w:p>
        </w:tc>
        <w:tc>
          <w:tcPr>
            <w:tcW w:type="dxa" w:w="10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338</w:t>
            </w:r>
          </w:p>
        </w:tc>
        <w:tc>
          <w:tcPr>
            <w:tcW w:type="dxa" w:w="12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sz w:val="20"/>
                <w:szCs w:val="20"/>
              </w:rPr>
              <w:t xml:space="preserve">5,10</w:t>
            </w:r>
          </w:p>
        </w:tc>
        <w:tc>
          <w:tcPr>
            <w:tcW w:type="dxa" w:w="116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C62828"/>
                <w:sz w:val="20"/>
                <w:szCs w:val="20"/>
              </w:rPr>
              <w:t xml:space="preserve">3,53</w:t>
            </w:r>
          </w:p>
        </w:tc>
      </w:tr>
      <w:tr>
        <w:tc>
          <w:tcPr>
            <w:tcW w:type="dxa" w:w="11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Bac 04</w:t>
            </w:r>
          </w:p>
        </w:tc>
        <w:tc>
          <w:tcPr>
            <w:tcW w:type="dxa" w:w="18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26 mars – 1 avril</w:t>
            </w:r>
          </w:p>
        </w:tc>
        <w:tc>
          <w:tcPr>
            <w:tcW w:type="dxa" w:w="800"/>
            <w:tcBorders>
              <w:top w:val="single" w:color="CCCCCC" w:sz="1"/>
              <w:left w:val="single" w:color="CCCCCC" w:sz="1"/>
              <w:bottom w:val="single" w:color="CCCCCC" w:sz="1"/>
              <w:right w:val="single" w:color="CCCCCC" w:sz="1"/>
            </w:tcBorders>
            <w:shd w:fill="F5F5F5" w:val="clear"/>
            <w:vAlign w:val="center"/>
          </w:tcPr>
          <w:p>
            <w:pPr>
              <w:spacing w:after="40" w:before="40"/>
              <w:jc w:val="center"/>
            </w:pPr>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11,20</w:t>
            </w:r>
          </w:p>
        </w:tc>
        <w:tc>
          <w:tcPr>
            <w:tcW w:type="dxa" w:w="11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32,41</w:t>
            </w:r>
          </w:p>
        </w:tc>
        <w:tc>
          <w:tcPr>
            <w:tcW w:type="dxa" w:w="10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335</w:t>
            </w:r>
          </w:p>
        </w:tc>
        <w:tc>
          <w:tcPr>
            <w:tcW w:type="dxa" w:w="1200"/>
            <w:tcBorders>
              <w:top w:val="single" w:color="CCCCCC" w:sz="1"/>
              <w:left w:val="single" w:color="CCCCCC" w:sz="1"/>
              <w:bottom w:val="single" w:color="CCCCCC" w:sz="1"/>
              <w:right w:val="single" w:color="CCCCCC" w:sz="1"/>
            </w:tcBorders>
            <w:shd w:fill="F5F5F5" w:val="clear"/>
            <w:vAlign w:val="center"/>
          </w:tcPr>
          <w:p>
            <w:pPr>
              <w:spacing w:after="40" w:before="40"/>
              <w:jc w:val="right"/>
            </w:pPr>
            <w:r>
              <w:rPr>
                <w:rFonts w:ascii="Arial" w:cs="Arial" w:eastAsia="Arial" w:hAnsi="Arial"/>
                <w:sz w:val="20"/>
                <w:szCs w:val="20"/>
              </w:rPr>
              <w:t xml:space="preserve">10,86</w:t>
            </w:r>
          </w:p>
        </w:tc>
        <w:tc>
          <w:tcPr>
            <w:tcW w:type="dxa" w:w="1160"/>
            <w:tcBorders>
              <w:top w:val="single" w:color="CCCCCC" w:sz="1"/>
              <w:left w:val="single" w:color="CCCCCC" w:sz="1"/>
              <w:bottom w:val="single" w:color="CCCCCC" w:sz="1"/>
              <w:right w:val="single" w:color="CCCCCC" w:sz="1"/>
            </w:tcBorders>
            <w:shd w:fill="F5F5F5" w:val="clear"/>
            <w:vAlign w:val="center"/>
          </w:tcPr>
          <w:p>
            <w:pPr>
              <w:spacing w:after="40" w:before="40"/>
              <w:jc w:val="center"/>
            </w:pPr>
            <w:r>
              <w:rPr>
                <w:rFonts w:ascii="Arial" w:cs="Arial" w:eastAsia="Arial" w:hAnsi="Arial"/>
                <w:b/>
                <w:bCs/>
                <w:sz w:val="20"/>
                <w:szCs w:val="20"/>
              </w:rPr>
              <w:t xml:space="preserve">1,03</w:t>
            </w:r>
          </w:p>
        </w:tc>
      </w:tr>
      <w:tr>
        <w:tc>
          <w:tcPr>
            <w:tcW w:type="dxa" w:w="1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Total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b/>
                <w:bCs/>
                <w:sz w:val="20"/>
                <w:szCs w:val="20"/>
              </w:rPr>
              <w:t xml:space="preserve">203,48</w:t>
            </w:r>
          </w:p>
        </w:tc>
        <w:tc>
          <w:tcPr>
            <w:tcW w:type="dxa" w:w="1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vAlign w:val="center"/>
          </w:tcPr>
          <w:p>
            <w:pPr>
              <w:spacing w:after="40" w:before="40"/>
              <w:jc w:val="right"/>
            </w:pPr>
            <w:r>
              <w:rPr>
                <w:rFonts w:ascii="Arial" w:cs="Arial" w:eastAsia="Arial" w:hAnsi="Arial"/>
                <w:b/>
                <w:bCs/>
                <w:sz w:val="20"/>
                <w:szCs w:val="20"/>
              </w:rPr>
              <w:t xml:space="preserve">309,51</w:t>
            </w:r>
          </w:p>
        </w:tc>
        <w:tc>
          <w:tcPr>
            <w:tcW w:type="dxa" w:w="116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1B5E20"/>
                <w:sz w:val="20"/>
                <w:szCs w:val="20"/>
              </w:rPr>
              <w:t xml:space="preserve">0,66</w:t>
            </w:r>
          </w:p>
        </w:tc>
      </w:tr>
    </w:tbl>
    <w:p>
      <w:pPr>
        <w:spacing w:after="120" w:before="80"/>
      </w:pPr>
      <w:r>
        <w:rPr>
          <w:i/>
          <w:iCs/>
          <w:color w:val="666666"/>
          <w:sz w:val="18"/>
          <w:szCs w:val="18"/>
        </w:rPr>
        <w:t xml:space="preserve">* Bac 03 n'est plus assigné à la vague (vidé le 26 mars, poissons transférés au Bac 04). Ses données sont incluses grâce à l'approche par ReleveConsommation (Étape 5).</w:t>
      </w:r>
    </w:p>
    <w:p>
      <w:r>
        <w:br w:type="page"/>
      </w:r>
    </w:p>
    <w:p>
      <w:pPr>
        <w:pStyle w:val="Heading1"/>
      </w:pPr>
      <w:r>
        <w:t xml:space="preserve">5. Cas limites et signalements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Situation</w:t>
            </w:r>
          </w:p>
        </w:tc>
        <w:tc>
          <w:tcPr>
            <w:tcW w:type="dxa" w:w="536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Traitement</w:t>
            </w:r>
          </w:p>
        </w:tc>
      </w:tr>
      <w:tr>
        <w:tc>
          <w:tcPr>
            <w:tcW w:type="dxa" w:w="4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&lt; minPoints données biométriques</w:t>
            </w:r>
          </w:p>
        </w:tc>
        <w:tc>
          <w:tcPr>
            <w:tcW w:type="dxa" w:w="53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Ignorer la vague, signaler INSUFFICIENT_DATA</w:t>
            </w:r>
          </w:p>
        </w:tc>
      </w:tr>
      <w:tr>
        <w:tc>
          <w:tcPr>
            <w:tcW w:type="dxa" w:w="40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Gompertz R² &lt; 0,85</w:t>
            </w:r>
          </w:p>
        </w:tc>
        <w:tc>
          <w:tcPr>
            <w:tcW w:type="dxa" w:w="536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Signaler LOW_CONFIDENCE — FCR potentiellement peu fiable</w:t>
            </w:r>
          </w:p>
        </w:tc>
      </w:tr>
      <w:tr>
        <w:tc>
          <w:tcPr>
            <w:tcW w:type="dxa" w:w="4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Bac avec FCR &gt; 3,0</w:t>
            </w:r>
          </w:p>
        </w:tc>
        <w:tc>
          <w:tcPr>
            <w:tcW w:type="dxa" w:w="53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Signaler pour vérification — possible erreur de saisie ou très peu de poissons</w:t>
            </w:r>
          </w:p>
        </w:tc>
      </w:tr>
      <w:tr>
        <w:tc>
          <w:tcPr>
            <w:tcW w:type="dxa" w:w="40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Pas de données de comptage</w:t>
            </w:r>
          </w:p>
        </w:tc>
        <w:tc>
          <w:tcPr>
            <w:tcW w:type="dxa" w:w="536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Répartition proportionnelle de nombreInitial + mortalité</w:t>
            </w:r>
          </w:p>
        </w:tc>
      </w:tr>
      <w:tr>
        <w:tc>
          <w:tcPr>
            <w:tcW w:type="dxa" w:w="4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Jours mixtes (plusieurs aliments)</w:t>
            </w:r>
          </w:p>
        </w:tc>
        <w:tc>
          <w:tcPr>
            <w:tcW w:type="dxa" w:w="53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Rattacher à la période adjacente de l'aliment cible</w:t>
            </w:r>
          </w:p>
        </w:tc>
      </w:tr>
      <w:tr>
        <w:tc>
          <w:tcPr>
            <w:tcW w:type="dxa" w:w="40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Consommation avant 1er point biométrique</w:t>
            </w:r>
          </w:p>
        </w:tc>
        <w:tc>
          <w:tcPr>
            <w:tcW w:type="dxa" w:w="536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Extrapoler Gompertz en arrière (modèle valide depuis t=0)</w:t>
            </w:r>
          </w:p>
        </w:tc>
      </w:tr>
      <w:tr>
        <w:tc>
          <w:tcPr>
            <w:tcW w:type="dxa" w:w="4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Bac désassigné après calibrage</w:t>
            </w:r>
          </w:p>
        </w:tc>
        <w:tc>
          <w:tcPr>
            <w:tcW w:type="dxa" w:w="53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Inclus automatiquement via ReleveConsommation (Étape 5)</w:t>
            </w:r>
          </w:p>
        </w:tc>
      </w:tr>
    </w:tbl>
    <w:p>
      <w:pPr>
        <w:pStyle w:val="Heading1"/>
      </w:pPr>
      <w:r>
        <w:t xml:space="preserve">6. Valeurs de référence — Clarias gariepinus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Métrique</w:t>
            </w:r>
          </w:p>
        </w:tc>
        <w:tc>
          <w:tcPr>
            <w:tcW w:type="dxa" w:w="250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Plage attendue</w:t>
            </w:r>
          </w:p>
        </w:tc>
        <w:tc>
          <w:tcPr>
            <w:tcW w:type="dxa" w:w="3360"/>
            <w:tcBorders>
              <w:top w:val="single" w:color="CCCCCC" w:sz="1"/>
              <w:left w:val="single" w:color="CCCCCC" w:sz="1"/>
              <w:bottom w:val="single" w:color="CCCCCC" w:sz="1"/>
              <w:right w:val="single" w:color="CCCCCC" w:sz="1"/>
            </w:tcBorders>
            <w:shd w:fill="1B5E20" w:val="clear"/>
            <w:vAlign w:val="center"/>
          </w:tcPr>
          <w:p>
            <w:pPr>
              <w:spacing w:after="60" w:before="60"/>
              <w:jc w:val="center"/>
            </w:pPr>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FCR grossissement (aliment commercial)</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sz w:val="20"/>
                <w:szCs w:val="20"/>
              </w:rPr>
              <w:t xml:space="preserve">0,8 – 1,5</w:t>
            </w:r>
          </w:p>
        </w:tc>
        <w:tc>
          <w:tcPr>
            <w:tcW w:type="dxa" w:w="33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FAO / Littérature</w:t>
            </w:r>
          </w:p>
        </w:tc>
      </w:tr>
      <w:tr>
        <w:tc>
          <w:tcPr>
            <w:tcW w:type="dxa" w:w="35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FCR stade alevin (&lt; 100g)</w:t>
            </w:r>
          </w:p>
        </w:tc>
        <w:tc>
          <w:tcPr>
            <w:tcW w:type="dxa" w:w="2500"/>
            <w:tcBorders>
              <w:top w:val="single" w:color="CCCCCC" w:sz="1"/>
              <w:left w:val="single" w:color="CCCCCC" w:sz="1"/>
              <w:bottom w:val="single" w:color="CCCCCC" w:sz="1"/>
              <w:right w:val="single" w:color="CCCCCC" w:sz="1"/>
            </w:tcBorders>
            <w:shd w:fill="F5F5F5" w:val="clear"/>
            <w:vAlign w:val="center"/>
          </w:tcPr>
          <w:p>
            <w:pPr>
              <w:spacing w:after="40" w:before="40"/>
              <w:jc w:val="center"/>
            </w:pPr>
            <w:r>
              <w:rPr>
                <w:rFonts w:ascii="Arial" w:cs="Arial" w:eastAsia="Arial" w:hAnsi="Arial"/>
                <w:sz w:val="20"/>
                <w:szCs w:val="20"/>
              </w:rPr>
              <w:t xml:space="preserve">0,5 – 1,0</w:t>
            </w:r>
          </w:p>
        </w:tc>
        <w:tc>
          <w:tcPr>
            <w:tcW w:type="dxa" w:w="336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Phase de croissance initiale</w:t>
            </w:r>
          </w:p>
        </w:tc>
      </w:tr>
      <w:tr>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Gompertz W∞ (bacs béton, Cameroun)</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sz w:val="20"/>
                <w:szCs w:val="20"/>
              </w:rPr>
              <w:t xml:space="preserve">1200 – 1500g</w:t>
            </w:r>
          </w:p>
        </w:tc>
        <w:tc>
          <w:tcPr>
            <w:tcW w:type="dxa" w:w="33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sz w:val="20"/>
                <w:szCs w:val="20"/>
              </w:rPr>
              <w:t xml:space="preserve">ADR + données locales</w:t>
            </w:r>
          </w:p>
        </w:tc>
      </w:tr>
      <w:tr>
        <w:tc>
          <w:tcPr>
            <w:tcW w:type="dxa" w:w="350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Gompertz K (typique)</w:t>
            </w:r>
          </w:p>
        </w:tc>
        <w:tc>
          <w:tcPr>
            <w:tcW w:type="dxa" w:w="2500"/>
            <w:tcBorders>
              <w:top w:val="single" w:color="CCCCCC" w:sz="1"/>
              <w:left w:val="single" w:color="CCCCCC" w:sz="1"/>
              <w:bottom w:val="single" w:color="CCCCCC" w:sz="1"/>
              <w:right w:val="single" w:color="CCCCCC" w:sz="1"/>
            </w:tcBorders>
            <w:shd w:fill="F5F5F5" w:val="clear"/>
            <w:vAlign w:val="center"/>
          </w:tcPr>
          <w:p>
            <w:pPr>
              <w:spacing w:after="40" w:before="40"/>
              <w:jc w:val="center"/>
            </w:pPr>
            <w:r>
              <w:rPr>
                <w:rFonts w:ascii="Arial" w:cs="Arial" w:eastAsia="Arial" w:hAnsi="Arial"/>
                <w:sz w:val="20"/>
                <w:szCs w:val="20"/>
              </w:rPr>
              <w:t xml:space="preserve">0,015 – 0,025 jour⁻¹</w:t>
            </w:r>
          </w:p>
        </w:tc>
        <w:tc>
          <w:tcPr>
            <w:tcW w:type="dxa" w:w="3360"/>
            <w:tcBorders>
              <w:top w:val="single" w:color="CCCCCC" w:sz="1"/>
              <w:left w:val="single" w:color="CCCCCC" w:sz="1"/>
              <w:bottom w:val="single" w:color="CCCCCC" w:sz="1"/>
              <w:right w:val="single" w:color="CCCCCC" w:sz="1"/>
            </w:tcBorders>
            <w:shd w:fill="F5F5F5" w:val="clear"/>
            <w:vAlign w:val="center"/>
          </w:tcPr>
          <w:p>
            <w:pPr>
              <w:spacing w:after="40" w:before="40"/>
              <w:jc w:val="left"/>
            </w:pPr>
            <w:r>
              <w:rPr>
                <w:rFonts w:ascii="Arial" w:cs="Arial" w:eastAsia="Arial" w:hAnsi="Arial"/>
                <w:sz w:val="20"/>
                <w:szCs w:val="20"/>
              </w:rPr>
              <w:t xml:space="preserve">ADR</w:t>
            </w:r>
          </w:p>
        </w:tc>
      </w:tr>
    </w:tbl>
    <w:p>
      <w:pPr>
        <w:spacing w:before="400"/>
      </w:pPr>
      <w:r>
        <w:rPr>
          <w:i/>
          <w:iCs/>
          <w:color w:val="999999"/>
          <w:sz w:val="18"/>
          <w:szCs w:val="18"/>
        </w:rPr>
        <w:t xml:space="preserve">Document généré le 6 avril 2026 — FarmFlow v2</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888888"/>
        <w:sz w:val="16"/>
        <w:szCs w:val="16"/>
      </w:rPr>
      <w:t xml:space="preserve">FarmFlow — Algorithme FCR par Aliment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abstractNum w:abstractNumId="8" w15:restartNumberingAfterBreak="0">
    <w:multiLevelType w:val="hybridMultilevel"/>
    <w:lvl w:ilvl="0" w15:tentative="1">
      <w:start w:val="1"/>
      <w:numFmt w:val="lowerLetter"/>
      <w:lvlText w:val="%1)"/>
      <w:lvlJc w:val="left"/>
      <w:pPr>
        <w:ind w:left="1080" w:hanging="360"/>
      </w:pPr>
    </w:lvl>
  </w:abstractNum>
  <w:abstractNum w:abstractNumId="9"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Arial" w:cs="Arial" w:eastAsia="Arial" w:hAnsi="Arial"/>
      <w:b/>
      <w:bCs/>
      <w:color w:val="1B5E20"/>
      <w:sz w:val="52"/>
      <w:szCs w:val="52"/>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88E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2026-04-06T10:20:43.775Z</dcterms:created>
  <dcterms:modified xsi:type="dcterms:W3CDTF">2026-04-06T10:20:43.776Z</dcterms:modified>
</cp:coreProperties>
</file>

<file path=docProps/custom.xml><?xml version="1.0" encoding="utf-8"?>
<Properties xmlns="http://schemas.openxmlformats.org/officeDocument/2006/custom-properties" xmlns:vt="http://schemas.openxmlformats.org/officeDocument/2006/docPropsVTypes"/>
</file>