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F0D" w:rsidRPr="00E21927" w:rsidRDefault="004D5F0D" w:rsidP="004D5F0D">
      <w:pPr>
        <w:pStyle w:val="Paragraphedeliste"/>
        <w:bidi/>
        <w:ind w:left="0"/>
        <w:jc w:val="center"/>
        <w:outlineLvl w:val="0"/>
        <w:rPr>
          <w:rFonts w:cs="Andalus"/>
          <w:sz w:val="144"/>
          <w:szCs w:val="144"/>
          <w:rtl/>
          <w:lang w:bidi="ar-TN"/>
        </w:rPr>
      </w:pPr>
      <w:r w:rsidRPr="00E21927">
        <w:rPr>
          <w:rFonts w:cs="Andalus" w:hint="cs"/>
          <w:sz w:val="144"/>
          <w:szCs w:val="144"/>
          <w:rtl/>
          <w:lang w:bidi="ar-TN"/>
        </w:rPr>
        <w:t>نتائج</w:t>
      </w:r>
    </w:p>
    <w:p w:rsidR="004D5F0D" w:rsidRPr="00E21927" w:rsidRDefault="004D5F0D" w:rsidP="004D5F0D">
      <w:pPr>
        <w:pStyle w:val="Paragraphedeliste"/>
        <w:bidi/>
        <w:ind w:left="0"/>
        <w:jc w:val="center"/>
        <w:rPr>
          <w:rFonts w:cs="Andalus"/>
          <w:sz w:val="144"/>
          <w:szCs w:val="144"/>
          <w:rtl/>
          <w:lang w:bidi="ar-TN"/>
        </w:rPr>
      </w:pPr>
      <w:r w:rsidRPr="00E21927">
        <w:rPr>
          <w:rFonts w:cs="Andalus" w:hint="cs"/>
          <w:sz w:val="144"/>
          <w:szCs w:val="144"/>
          <w:rtl/>
          <w:lang w:bidi="ar-TN"/>
        </w:rPr>
        <w:t xml:space="preserve"> تثقيلات و مطروحات الديون الراجعة للدولة </w:t>
      </w:r>
    </w:p>
    <w:p w:rsidR="004D5F0D" w:rsidRDefault="004D5F0D" w:rsidP="004D5F0D">
      <w:pPr>
        <w:pStyle w:val="Paragraphedeliste"/>
        <w:bidi/>
        <w:ind w:left="0"/>
        <w:jc w:val="center"/>
        <w:rPr>
          <w:rFonts w:cs="Andalus"/>
          <w:sz w:val="144"/>
          <w:szCs w:val="144"/>
          <w:rtl/>
          <w:lang w:bidi="ar-TN"/>
        </w:rPr>
      </w:pPr>
    </w:p>
    <w:p w:rsidR="004D5F0D" w:rsidRPr="00E21927" w:rsidRDefault="004D5F0D" w:rsidP="004D5F0D">
      <w:pPr>
        <w:pStyle w:val="Paragraphedeliste"/>
        <w:bidi/>
        <w:ind w:left="0"/>
        <w:jc w:val="center"/>
        <w:rPr>
          <w:rFonts w:cs="Andalus"/>
          <w:sz w:val="50"/>
          <w:szCs w:val="50"/>
          <w:rtl/>
          <w:lang w:bidi="ar-TN"/>
        </w:rPr>
      </w:pPr>
    </w:p>
    <w:p w:rsidR="006C0370" w:rsidRDefault="006C0370" w:rsidP="004D5F0D">
      <w:pPr>
        <w:pStyle w:val="Paragraphedeliste"/>
        <w:bidi/>
        <w:ind w:left="0"/>
        <w:jc w:val="center"/>
        <w:outlineLvl w:val="0"/>
        <w:rPr>
          <w:rFonts w:cs="Andalus"/>
          <w:sz w:val="144"/>
          <w:szCs w:val="144"/>
          <w:rtl/>
          <w:lang w:bidi="ar-TN"/>
        </w:rPr>
      </w:pPr>
    </w:p>
    <w:p w:rsidR="006C0370" w:rsidRDefault="006C0370" w:rsidP="006C0370">
      <w:pPr>
        <w:pStyle w:val="Paragraphedeliste"/>
        <w:bidi/>
        <w:ind w:left="0"/>
        <w:jc w:val="center"/>
        <w:outlineLvl w:val="0"/>
        <w:rPr>
          <w:rFonts w:cs="Andalus"/>
          <w:sz w:val="144"/>
          <w:szCs w:val="144"/>
          <w:rtl/>
          <w:lang w:bidi="ar-TN"/>
        </w:rPr>
      </w:pPr>
    </w:p>
    <w:p w:rsidR="006C0370" w:rsidRDefault="006C0370" w:rsidP="006C0370">
      <w:pPr>
        <w:pStyle w:val="Paragraphedeliste"/>
        <w:bidi/>
        <w:ind w:left="0"/>
        <w:jc w:val="center"/>
        <w:outlineLvl w:val="0"/>
        <w:rPr>
          <w:rFonts w:cs="Andalus"/>
          <w:sz w:val="144"/>
          <w:szCs w:val="144"/>
          <w:rtl/>
          <w:lang w:bidi="ar-TN"/>
        </w:rPr>
      </w:pPr>
    </w:p>
    <w:p w:rsidR="004D5F0D" w:rsidRDefault="004D5F0D" w:rsidP="006C0370">
      <w:pPr>
        <w:pStyle w:val="Paragraphedeliste"/>
        <w:bidi/>
        <w:ind w:left="0"/>
        <w:jc w:val="center"/>
        <w:outlineLvl w:val="0"/>
        <w:rPr>
          <w:rFonts w:cs="Andalus"/>
          <w:sz w:val="144"/>
          <w:szCs w:val="144"/>
          <w:rtl/>
          <w:lang w:bidi="ar-TN"/>
        </w:rPr>
      </w:pPr>
      <w:r>
        <w:rPr>
          <w:rFonts w:cs="Andalus" w:hint="cs"/>
          <w:sz w:val="144"/>
          <w:szCs w:val="144"/>
          <w:rtl/>
          <w:lang w:bidi="ar-TN"/>
        </w:rPr>
        <w:t xml:space="preserve">التثقيلات </w:t>
      </w:r>
    </w:p>
    <w:p w:rsidR="004D5F0D" w:rsidRDefault="004D5F0D" w:rsidP="004D5F0D">
      <w:pPr>
        <w:pStyle w:val="Paragraphedeliste"/>
        <w:bidi/>
        <w:ind w:left="0"/>
        <w:rPr>
          <w:rFonts w:cs="Andalus"/>
          <w:sz w:val="144"/>
          <w:szCs w:val="144"/>
          <w:rtl/>
          <w:lang w:bidi="ar-TN"/>
        </w:rPr>
        <w:sectPr w:rsidR="004D5F0D" w:rsidSect="008D14E5">
          <w:pgSz w:w="11906" w:h="16838"/>
          <w:pgMar w:top="709" w:right="992" w:bottom="567" w:left="709" w:header="709" w:footer="0" w:gutter="0"/>
          <w:cols w:space="708"/>
          <w:docGrid w:linePitch="360"/>
        </w:sectPr>
      </w:pPr>
    </w:p>
    <w:p w:rsidR="002A4342" w:rsidRDefault="002A4342" w:rsidP="00AC69A3">
      <w:pPr>
        <w:bidi/>
        <w:spacing w:line="240" w:lineRule="auto"/>
        <w:ind w:firstLine="708"/>
        <w:jc w:val="both"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نلاحظ</w:t>
      </w:r>
      <w:r w:rsidR="00AC69A3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من خلال الجدول البياني لتطور التثقيلات على المستوى الجهوي لسنة 2022 سجلت نسبة تطور سلبي ب     -18</w:t>
      </w:r>
      <w:r w:rsidR="00AC69A3">
        <w:rPr>
          <w:rFonts w:asciiTheme="majorBidi" w:hAnsiTheme="majorBidi" w:cstheme="majorBidi"/>
          <w:sz w:val="32"/>
          <w:szCs w:val="32"/>
          <w:lang w:bidi="ar-TN"/>
        </w:rPr>
        <w:t>%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</w:t>
      </w:r>
      <w:r w:rsidR="00AC69A3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و حيث سجلت القباضة المالية باب سويقة أعلى نسبة تراجع بــ-53.28 </w:t>
      </w:r>
      <w:r w:rsidR="00AC69A3">
        <w:rPr>
          <w:rFonts w:asciiTheme="majorBidi" w:hAnsiTheme="majorBidi" w:cstheme="majorBidi"/>
          <w:sz w:val="32"/>
          <w:szCs w:val="32"/>
          <w:lang w:bidi="ar-TN"/>
        </w:rPr>
        <w:t>%</w:t>
      </w:r>
      <w:r w:rsidR="00AC69A3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في حين سجلت القباضة المالية الوحيدة تطورا إيجابيا بــــ24.34</w:t>
      </w:r>
      <w:r w:rsidR="00AC69A3">
        <w:rPr>
          <w:rFonts w:asciiTheme="majorBidi" w:hAnsiTheme="majorBidi" w:cstheme="majorBidi"/>
          <w:sz w:val="32"/>
          <w:szCs w:val="32"/>
          <w:lang w:bidi="ar-TN"/>
        </w:rPr>
        <w:t>%</w:t>
      </w:r>
      <w:r w:rsidR="00AC69A3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وهي القباضة المالية نهج النمسا-تونس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</w:t>
      </w:r>
      <w:r w:rsidR="00AC69A3">
        <w:rPr>
          <w:rFonts w:asciiTheme="majorBidi" w:hAnsiTheme="majorBidi" w:cstheme="majorBidi" w:hint="cs"/>
          <w:sz w:val="32"/>
          <w:szCs w:val="32"/>
          <w:rtl/>
          <w:lang w:bidi="ar-TN"/>
        </w:rPr>
        <w:t>.</w:t>
      </w:r>
    </w:p>
    <w:p w:rsidR="00AC69A3" w:rsidRDefault="00AC69A3" w:rsidP="008D12FC">
      <w:pPr>
        <w:bidi/>
        <w:spacing w:line="240" w:lineRule="auto"/>
        <w:ind w:firstLine="708"/>
        <w:jc w:val="both"/>
        <w:rPr>
          <w:rFonts w:asciiTheme="majorBidi" w:hAnsiTheme="majorBidi" w:cstheme="majorBidi" w:hint="cs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رغم أن جملة تثقيلات الديون العمومية سجلت تراجعا على المستوى الجهوي إلا أن الديون الغير جبا</w:t>
      </w:r>
      <w:r w:rsidR="008D12FC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ئية سجلت تطورا مقارنة بسنة 2022، حيث ان معاليم الكراء قد شهدت تطورا 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يعود ذلك خاصة إلى تعهد أمانة المال ب</w:t>
      </w:r>
      <w:r w:rsidR="008D12FC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تحيين 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عقود الكراء و</w:t>
      </w:r>
      <w:r w:rsidR="008D12FC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تضمينها و متابعة استخلاصها بصفة منتظمة.</w:t>
      </w:r>
    </w:p>
    <w:p w:rsidR="002A4342" w:rsidRDefault="002A4342" w:rsidP="003C6FCC">
      <w:pPr>
        <w:bidi/>
        <w:spacing w:line="240" w:lineRule="auto"/>
        <w:ind w:firstLine="708"/>
        <w:jc w:val="both"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نلاحظ كذلك تطور في عدد الملفات المثقلة بعنوان منتوجات غابية الصادرة عن أمانة المال الجهوية لفائدة القباضة المالية نهج أنقلترا ويعود ذلك أساسا إلى إسترداد نسق بتات الحطب والمنتوجات الغابية.</w:t>
      </w:r>
    </w:p>
    <w:p w:rsidR="00EA329D" w:rsidRDefault="009D5110" w:rsidP="00EA329D">
      <w:p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طرح</w:t>
      </w:r>
      <w:bookmarkStart w:id="0" w:name="_GoBack"/>
      <w:bookmarkEnd w:id="0"/>
    </w:p>
    <w:p w:rsidR="007A1B84" w:rsidRDefault="00EA329D" w:rsidP="009D5110">
      <w:p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TN"/>
        </w:rPr>
      </w:pPr>
      <w:r>
        <w:rPr>
          <w:rFonts w:asciiTheme="majorBidi" w:hAnsiTheme="majorBidi" w:cstheme="majorBidi"/>
          <w:sz w:val="32"/>
          <w:szCs w:val="32"/>
          <w:rtl/>
          <w:lang w:bidi="ar-TN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نفيدكم أن المبلغ الجملي للديون المطروحة قد تضاعف مرتين حيث بلغت نسبة التطور 96 </w:t>
      </w:r>
      <w:r w:rsidR="00112F29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TN"/>
        </w:rPr>
        <w:t>%</w:t>
      </w:r>
      <w:r w:rsidR="00112F29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بين سنتي 2021 و 2022 في 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جميغ القباضات المالية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>.</w:t>
      </w:r>
    </w:p>
    <w:p w:rsidR="00EA329D" w:rsidRDefault="007A1B84" w:rsidP="007A1B84">
      <w:pPr>
        <w:bidi/>
        <w:spacing w:line="240" w:lineRule="auto"/>
        <w:jc w:val="both"/>
        <w:rPr>
          <w:rFonts w:asciiTheme="majorBidi" w:hAnsiTheme="majorBidi" w:cstheme="majorBidi" w:hint="cs"/>
          <w:sz w:val="32"/>
          <w:szCs w:val="32"/>
          <w:rtl/>
          <w:lang w:bidi="ar-TN"/>
        </w:rPr>
      </w:pP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ا</w:t>
      </w:r>
      <w:r w:rsidR="00EA329D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لمبلغ الجملي </w:t>
      </w:r>
      <w:r w:rsidR="006A6E68">
        <w:rPr>
          <w:rFonts w:asciiTheme="majorBidi" w:hAnsiTheme="majorBidi" w:cstheme="majorBidi" w:hint="cs"/>
          <w:sz w:val="32"/>
          <w:szCs w:val="32"/>
          <w:rtl/>
          <w:lang w:bidi="ar-TN"/>
        </w:rPr>
        <w:t>للديون المطروحة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على المستوى الجهوي سجل تطورا إيجابيا</w:t>
      </w:r>
      <w:r w:rsidR="006A6E68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ما عدى قباضة المالية الكبارية و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ال</w:t>
      </w:r>
      <w:r w:rsidR="006A6E68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قباضة 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المالية </w:t>
      </w:r>
      <w:r w:rsidR="006A6E68">
        <w:rPr>
          <w:rFonts w:asciiTheme="majorBidi" w:hAnsiTheme="majorBidi" w:cstheme="majorBidi" w:hint="cs"/>
          <w:sz w:val="32"/>
          <w:szCs w:val="32"/>
          <w:rtl/>
          <w:lang w:bidi="ar-TN"/>
        </w:rPr>
        <w:t>باب سويقة.</w:t>
      </w:r>
    </w:p>
    <w:p w:rsidR="006A6E68" w:rsidRDefault="006A6E68" w:rsidP="007A1B84">
      <w:pPr>
        <w:bidi/>
        <w:spacing w:line="240" w:lineRule="auto"/>
        <w:jc w:val="both"/>
        <w:rPr>
          <w:rFonts w:asciiTheme="majorBidi" w:hAnsiTheme="majorBidi" w:cstheme="majorBidi" w:hint="cs"/>
          <w:sz w:val="32"/>
          <w:szCs w:val="32"/>
          <w:rtl/>
          <w:lang w:bidi="ar-TN"/>
        </w:rPr>
      </w:pPr>
      <w:r>
        <w:rPr>
          <w:rFonts w:asciiTheme="majorBidi" w:hAnsiTheme="majorBidi" w:cstheme="majorBidi"/>
          <w:sz w:val="32"/>
          <w:szCs w:val="32"/>
          <w:rtl/>
          <w:lang w:bidi="ar-TN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و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>يعود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هذا 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>التطور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في سنة 2022 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>ل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طرح خطايا المراقبة المتعل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>ق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ة بالعفو الجبائي 2012-2016-2019 و2022 مقارنة بسنة 2021 التي سجلنا فيها طرح خطايا المراقبة المتعلقة بعفو 2012-2016 و2019 فقط.</w:t>
      </w:r>
    </w:p>
    <w:p w:rsidR="00006414" w:rsidRPr="00EA329D" w:rsidRDefault="006A6E68" w:rsidP="007A1B84">
      <w:pPr>
        <w:bidi/>
        <w:spacing w:line="240" w:lineRule="auto"/>
        <w:jc w:val="both"/>
        <w:rPr>
          <w:rFonts w:asciiTheme="majorBidi" w:hAnsiTheme="majorBidi" w:cstheme="majorBidi" w:hint="cs"/>
          <w:sz w:val="32"/>
          <w:szCs w:val="32"/>
          <w:rtl/>
          <w:lang w:bidi="ar-TN"/>
        </w:rPr>
      </w:pPr>
      <w:r>
        <w:rPr>
          <w:rFonts w:asciiTheme="majorBidi" w:hAnsiTheme="majorBidi" w:cstheme="majorBidi"/>
          <w:sz w:val="32"/>
          <w:szCs w:val="32"/>
          <w:rtl/>
          <w:lang w:bidi="ar-TN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>نحيطكم علما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أيضا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أن عدد الملفات المطروحة الصادرة في شأنها مذكرات طرح صادرة عن المركز الجهوي لمراقب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>ة الأداءات تونس 1 قد سجلت إرتفا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عا ملحوظا وخاصة خلال فترة الإنخراط في العفو الجبائي ويعود ذلك إلى حرص </w:t>
      </w:r>
      <w:r w:rsidR="007A1B84">
        <w:rPr>
          <w:rFonts w:asciiTheme="majorBidi" w:hAnsiTheme="majorBidi" w:cstheme="majorBidi" w:hint="cs"/>
          <w:sz w:val="32"/>
          <w:szCs w:val="32"/>
          <w:rtl/>
          <w:lang w:bidi="ar-TN"/>
        </w:rPr>
        <w:t>المدينين الذين بادروا بالانخراط</w:t>
      </w:r>
      <w:r>
        <w:rPr>
          <w:rFonts w:asciiTheme="majorBidi" w:hAnsiTheme="majorBidi" w:cstheme="majorBidi" w:hint="cs"/>
          <w:sz w:val="32"/>
          <w:szCs w:val="32"/>
          <w:rtl/>
          <w:lang w:bidi="ar-TN"/>
        </w:rPr>
        <w:t xml:space="preserve"> في العفو الجبائي على تبليغ الأحكام إلى المركز الجهوي لمراقبة الأداءات لتحيين قيمة الدين وإم</w:t>
      </w:r>
      <w:r w:rsidR="00006414">
        <w:rPr>
          <w:rFonts w:asciiTheme="majorBidi" w:hAnsiTheme="majorBidi" w:cstheme="majorBidi" w:hint="cs"/>
          <w:sz w:val="32"/>
          <w:szCs w:val="32"/>
          <w:rtl/>
          <w:lang w:bidi="ar-TN"/>
        </w:rPr>
        <w:t>كانية الإنخراط في العفو</w:t>
      </w:r>
    </w:p>
    <w:p w:rsidR="00EA329D" w:rsidRDefault="00EA329D" w:rsidP="00EA329D">
      <w:p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:rsidR="00EA329D" w:rsidRDefault="00EA329D" w:rsidP="00EA329D">
      <w:pPr>
        <w:bidi/>
        <w:spacing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:rsidR="00EA329D" w:rsidRDefault="00EA329D" w:rsidP="00EA329D">
      <w:pPr>
        <w:bidi/>
        <w:spacing w:line="240" w:lineRule="auto"/>
        <w:jc w:val="both"/>
        <w:rPr>
          <w:rFonts w:asciiTheme="majorBidi" w:hAnsiTheme="majorBidi" w:cstheme="majorBidi" w:hint="cs"/>
          <w:sz w:val="32"/>
          <w:szCs w:val="32"/>
          <w:rtl/>
          <w:lang w:bidi="ar-TN"/>
        </w:rPr>
      </w:pPr>
    </w:p>
    <w:p w:rsidR="002A4342" w:rsidRPr="002A4342" w:rsidRDefault="002A4342" w:rsidP="002A4342">
      <w:pPr>
        <w:bidi/>
        <w:spacing w:line="240" w:lineRule="auto"/>
        <w:jc w:val="both"/>
        <w:rPr>
          <w:rFonts w:asciiTheme="majorBidi" w:hAnsiTheme="majorBidi" w:cstheme="majorBidi" w:hint="cs"/>
          <w:sz w:val="32"/>
          <w:szCs w:val="32"/>
          <w:rtl/>
          <w:lang w:bidi="ar-TN"/>
        </w:rPr>
      </w:pPr>
    </w:p>
    <w:p w:rsidR="004A015C" w:rsidRDefault="004A015C"/>
    <w:sectPr w:rsidR="004A015C" w:rsidSect="004A01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422" w:rsidRDefault="00ED4422" w:rsidP="00F004A8">
      <w:pPr>
        <w:spacing w:after="0" w:line="240" w:lineRule="auto"/>
      </w:pPr>
      <w:r>
        <w:separator/>
      </w:r>
    </w:p>
  </w:endnote>
  <w:endnote w:type="continuationSeparator" w:id="0">
    <w:p w:rsidR="00ED4422" w:rsidRDefault="00ED4422" w:rsidP="00F00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422" w:rsidRDefault="00ED4422" w:rsidP="00F004A8">
      <w:pPr>
        <w:spacing w:after="0" w:line="240" w:lineRule="auto"/>
      </w:pPr>
      <w:r>
        <w:separator/>
      </w:r>
    </w:p>
  </w:footnote>
  <w:footnote w:type="continuationSeparator" w:id="0">
    <w:p w:rsidR="00ED4422" w:rsidRDefault="00ED4422" w:rsidP="00F004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F0D"/>
    <w:rsid w:val="00006414"/>
    <w:rsid w:val="00027D35"/>
    <w:rsid w:val="00072E8F"/>
    <w:rsid w:val="00075439"/>
    <w:rsid w:val="000963BC"/>
    <w:rsid w:val="000A3C6A"/>
    <w:rsid w:val="000A65EA"/>
    <w:rsid w:val="000B3AC3"/>
    <w:rsid w:val="000B63F5"/>
    <w:rsid w:val="000F5ED1"/>
    <w:rsid w:val="00101111"/>
    <w:rsid w:val="00112F29"/>
    <w:rsid w:val="00144974"/>
    <w:rsid w:val="0017750F"/>
    <w:rsid w:val="001B339B"/>
    <w:rsid w:val="001D65AA"/>
    <w:rsid w:val="001E1608"/>
    <w:rsid w:val="001F0C27"/>
    <w:rsid w:val="00204048"/>
    <w:rsid w:val="00211810"/>
    <w:rsid w:val="00222470"/>
    <w:rsid w:val="002267A2"/>
    <w:rsid w:val="002758DA"/>
    <w:rsid w:val="002769FB"/>
    <w:rsid w:val="002A4342"/>
    <w:rsid w:val="002B334F"/>
    <w:rsid w:val="002C46CC"/>
    <w:rsid w:val="002D0E46"/>
    <w:rsid w:val="002E0CBF"/>
    <w:rsid w:val="002E41D2"/>
    <w:rsid w:val="00301F14"/>
    <w:rsid w:val="00316601"/>
    <w:rsid w:val="00326E8A"/>
    <w:rsid w:val="00363413"/>
    <w:rsid w:val="0037464C"/>
    <w:rsid w:val="003A5F82"/>
    <w:rsid w:val="003B3123"/>
    <w:rsid w:val="003C6FCC"/>
    <w:rsid w:val="003E19FF"/>
    <w:rsid w:val="00426918"/>
    <w:rsid w:val="0044424A"/>
    <w:rsid w:val="00457B75"/>
    <w:rsid w:val="00460F60"/>
    <w:rsid w:val="00461F4D"/>
    <w:rsid w:val="004627CA"/>
    <w:rsid w:val="0047550D"/>
    <w:rsid w:val="00483AB9"/>
    <w:rsid w:val="00485160"/>
    <w:rsid w:val="004956B2"/>
    <w:rsid w:val="0049607C"/>
    <w:rsid w:val="00496298"/>
    <w:rsid w:val="004A015C"/>
    <w:rsid w:val="004A3174"/>
    <w:rsid w:val="004A4EDA"/>
    <w:rsid w:val="004D5F0D"/>
    <w:rsid w:val="004D6FD8"/>
    <w:rsid w:val="004E7DA7"/>
    <w:rsid w:val="0050659B"/>
    <w:rsid w:val="00510A54"/>
    <w:rsid w:val="0051566F"/>
    <w:rsid w:val="005337FF"/>
    <w:rsid w:val="00541655"/>
    <w:rsid w:val="00544206"/>
    <w:rsid w:val="00545A5E"/>
    <w:rsid w:val="0057066E"/>
    <w:rsid w:val="00581615"/>
    <w:rsid w:val="0058392D"/>
    <w:rsid w:val="00585595"/>
    <w:rsid w:val="0059297C"/>
    <w:rsid w:val="0059380D"/>
    <w:rsid w:val="005A33D0"/>
    <w:rsid w:val="005A69F0"/>
    <w:rsid w:val="005C332E"/>
    <w:rsid w:val="005F0E3F"/>
    <w:rsid w:val="005F2770"/>
    <w:rsid w:val="006011BF"/>
    <w:rsid w:val="00613E03"/>
    <w:rsid w:val="0064297D"/>
    <w:rsid w:val="0067161F"/>
    <w:rsid w:val="006932FD"/>
    <w:rsid w:val="00693BF7"/>
    <w:rsid w:val="006A6E68"/>
    <w:rsid w:val="006C0370"/>
    <w:rsid w:val="006E1429"/>
    <w:rsid w:val="006E4F65"/>
    <w:rsid w:val="006E6FF8"/>
    <w:rsid w:val="006E71AE"/>
    <w:rsid w:val="0072347E"/>
    <w:rsid w:val="00772631"/>
    <w:rsid w:val="0077780A"/>
    <w:rsid w:val="00796E2B"/>
    <w:rsid w:val="007A1B84"/>
    <w:rsid w:val="007D217B"/>
    <w:rsid w:val="00802E7F"/>
    <w:rsid w:val="00832066"/>
    <w:rsid w:val="00833EEF"/>
    <w:rsid w:val="0086574A"/>
    <w:rsid w:val="00874AC5"/>
    <w:rsid w:val="00875F7C"/>
    <w:rsid w:val="008778E0"/>
    <w:rsid w:val="008A31DD"/>
    <w:rsid w:val="008D12FC"/>
    <w:rsid w:val="008E4071"/>
    <w:rsid w:val="008E7359"/>
    <w:rsid w:val="008E7F28"/>
    <w:rsid w:val="008F5CCF"/>
    <w:rsid w:val="00901344"/>
    <w:rsid w:val="00924B6C"/>
    <w:rsid w:val="0094389D"/>
    <w:rsid w:val="00956169"/>
    <w:rsid w:val="00960E74"/>
    <w:rsid w:val="00962A95"/>
    <w:rsid w:val="00970EF4"/>
    <w:rsid w:val="009A232C"/>
    <w:rsid w:val="009D5110"/>
    <w:rsid w:val="00A15CD8"/>
    <w:rsid w:val="00A2784F"/>
    <w:rsid w:val="00A3427D"/>
    <w:rsid w:val="00A90B5E"/>
    <w:rsid w:val="00AA52D0"/>
    <w:rsid w:val="00AC69A3"/>
    <w:rsid w:val="00AD00E8"/>
    <w:rsid w:val="00AD7A8D"/>
    <w:rsid w:val="00AF13B8"/>
    <w:rsid w:val="00AF774B"/>
    <w:rsid w:val="00B1408B"/>
    <w:rsid w:val="00B36A9B"/>
    <w:rsid w:val="00B42BE5"/>
    <w:rsid w:val="00B51A19"/>
    <w:rsid w:val="00B63DFB"/>
    <w:rsid w:val="00B7321A"/>
    <w:rsid w:val="00B93DD8"/>
    <w:rsid w:val="00BA6F67"/>
    <w:rsid w:val="00BC5007"/>
    <w:rsid w:val="00BE3334"/>
    <w:rsid w:val="00BF673D"/>
    <w:rsid w:val="00C00654"/>
    <w:rsid w:val="00C03115"/>
    <w:rsid w:val="00C10FC5"/>
    <w:rsid w:val="00C24027"/>
    <w:rsid w:val="00C249F6"/>
    <w:rsid w:val="00C3320F"/>
    <w:rsid w:val="00C336B2"/>
    <w:rsid w:val="00C429C3"/>
    <w:rsid w:val="00C42E3E"/>
    <w:rsid w:val="00C43C53"/>
    <w:rsid w:val="00C50B60"/>
    <w:rsid w:val="00C66B38"/>
    <w:rsid w:val="00C774FB"/>
    <w:rsid w:val="00C835C2"/>
    <w:rsid w:val="00C954D1"/>
    <w:rsid w:val="00C96750"/>
    <w:rsid w:val="00CB7307"/>
    <w:rsid w:val="00D71A75"/>
    <w:rsid w:val="00D7783D"/>
    <w:rsid w:val="00DA47D4"/>
    <w:rsid w:val="00DB1A6F"/>
    <w:rsid w:val="00DD5213"/>
    <w:rsid w:val="00DD6A6A"/>
    <w:rsid w:val="00DF2B68"/>
    <w:rsid w:val="00DF5CE5"/>
    <w:rsid w:val="00E018A6"/>
    <w:rsid w:val="00E23A28"/>
    <w:rsid w:val="00E314BB"/>
    <w:rsid w:val="00E329BA"/>
    <w:rsid w:val="00E33024"/>
    <w:rsid w:val="00E37216"/>
    <w:rsid w:val="00E64FC4"/>
    <w:rsid w:val="00E67A64"/>
    <w:rsid w:val="00E745DA"/>
    <w:rsid w:val="00E77E89"/>
    <w:rsid w:val="00E8056D"/>
    <w:rsid w:val="00E87FD2"/>
    <w:rsid w:val="00EA329D"/>
    <w:rsid w:val="00EA781A"/>
    <w:rsid w:val="00EB0DB4"/>
    <w:rsid w:val="00EB26D9"/>
    <w:rsid w:val="00EC6E81"/>
    <w:rsid w:val="00ED4422"/>
    <w:rsid w:val="00EE2AFE"/>
    <w:rsid w:val="00EE45B1"/>
    <w:rsid w:val="00EE550F"/>
    <w:rsid w:val="00F004A8"/>
    <w:rsid w:val="00F02601"/>
    <w:rsid w:val="00F417D4"/>
    <w:rsid w:val="00F56873"/>
    <w:rsid w:val="00F768F8"/>
    <w:rsid w:val="00FB06FA"/>
    <w:rsid w:val="00FB3EFB"/>
    <w:rsid w:val="00FF604A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DDAF"/>
  <w15:docId w15:val="{BE6539A3-5F67-413B-BCCD-8D621340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F0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qFormat/>
    <w:rsid w:val="00EB0DB4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EB0DB4"/>
    <w:rPr>
      <w:rFonts w:ascii="Arial" w:hAnsi="Arial" w:cs="Arial"/>
      <w:b/>
      <w:bCs/>
      <w:i/>
      <w:iCs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4D5F0D"/>
    <w:pPr>
      <w:ind w:left="720"/>
      <w:contextualSpacing/>
    </w:pPr>
  </w:style>
  <w:style w:type="table" w:styleId="Grilledutableau">
    <w:name w:val="Table Grid"/>
    <w:basedOn w:val="TableauNormal"/>
    <w:uiPriority w:val="59"/>
    <w:rsid w:val="004D5F0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55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550F"/>
    <w:rPr>
      <w:rFonts w:ascii="Segoe UI" w:eastAsiaTheme="minorHAnsi" w:hAnsi="Segoe UI" w:cs="Segoe UI"/>
      <w:sz w:val="18"/>
      <w:szCs w:val="18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F004A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04A8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F004A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04A8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B91003</cp:lastModifiedBy>
  <cp:revision>2</cp:revision>
  <cp:lastPrinted>2023-02-08T09:08:00Z</cp:lastPrinted>
  <dcterms:created xsi:type="dcterms:W3CDTF">2023-02-08T09:35:00Z</dcterms:created>
  <dcterms:modified xsi:type="dcterms:W3CDTF">2023-02-08T09:35:00Z</dcterms:modified>
</cp:coreProperties>
</file>