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88" w:lineRule="auto"/>
        <w:jc w:val="left"/>
      </w:pPr>
      <w:r>
        <w:rPr>
          <w:rFonts w:ascii="Calibri" w:hAnsi="Calibri"/>
          <w:b/>
          <w:i w:val="0"/>
          <w:color w:val="B8860B"/>
          <w:sz w:val="18"/>
        </w:rPr>
        <w:t>INFLAMMATION BIOLOGIC · 18-MONTH DEFENSE</w:t>
      </w:r>
    </w:p>
    <w:p>
      <w:pPr>
        <w:spacing w:before="0" w:after="40" w:line="276" w:lineRule="auto"/>
        <w:jc w:val="left"/>
      </w:pPr>
      <w:r>
        <w:rPr>
          <w:rFonts w:ascii="Cambria" w:hAnsi="Cambria"/>
          <w:b/>
          <w:i w:val="0"/>
          <w:color w:val="1E2761"/>
          <w:sz w:val="30"/>
        </w:rPr>
        <w:t>Defending the franchise through biosimilar entry, an adjacent launch, and payer pressure.</w:t>
      </w:r>
    </w:p>
    <w:p>
      <w:pPr>
        <w:spacing w:before="0" w:after="200" w:line="288" w:lineRule="auto"/>
        <w:jc w:val="left"/>
      </w:pPr>
      <w:r>
        <w:rPr>
          <w:rFonts w:ascii="Calibri" w:hAnsi="Calibri"/>
          <w:b w:val="0"/>
          <w:i/>
          <w:color w:val="6B7280"/>
          <w:sz w:val="18"/>
        </w:rPr>
        <w:t>Working POV  ·  for senior commercial leadership review  ·  Working draft</w:t>
      </w:r>
    </w:p>
    <w:p>
      <w:pPr>
        <w:spacing w:before="0" w:after="200"/>
        <w:pBdr>
          <w:bottom w:val="single" w:sz="6" w:space="1" w:color="1E2761"/>
        </w:pBdr>
      </w:pPr>
    </w:p>
    <w:p>
      <w:pPr>
        <w:spacing w:before="0" w:after="40" w:line="288" w:lineRule="auto"/>
        <w:jc w:val="left"/>
      </w:pPr>
      <w:r>
        <w:rPr>
          <w:rFonts w:ascii="Calibri" w:hAnsi="Calibri"/>
          <w:b/>
          <w:i w:val="0"/>
          <w:color w:val="B8860B"/>
          <w:sz w:val="18"/>
        </w:rPr>
        <w:t>SITUATION</w:t>
      </w:r>
    </w:p>
    <w:p>
      <w:pPr>
        <w:spacing w:before="0" w:after="16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1"/>
        </w:rPr>
        <w:t>A $1B specialty inflammation biologic enters the most exposed 18 months in its lifecycle. First biosimilar approval is expected in 12 months. An adjacent indication launches in 6 months. Payer step-edit pressure is already building in commercial books.</w:t>
      </w:r>
    </w:p>
    <w:p>
      <w:pPr>
        <w:spacing w:before="0" w:after="40" w:line="288" w:lineRule="auto"/>
        <w:jc w:val="left"/>
      </w:pPr>
      <w:r>
        <w:rPr>
          <w:rFonts w:ascii="Calibri" w:hAnsi="Calibri"/>
          <w:b/>
          <w:i w:val="0"/>
          <w:color w:val="B8860B"/>
          <w:sz w:val="18"/>
        </w:rPr>
        <w:t>COMPLICATION</w:t>
      </w:r>
    </w:p>
    <w:p>
      <w:pPr>
        <w:spacing w:before="0" w:after="160" w:line="288" w:lineRule="auto"/>
        <w:jc w:val="left"/>
      </w:pPr>
      <w:r>
        <w:rPr>
          <w:rFonts w:ascii="Calibri" w:hAnsi="Calibri"/>
          <w:b w:val="0"/>
          <w:i w:val="0"/>
          <w:color w:val="1F2937"/>
          <w:sz w:val="21"/>
        </w:rPr>
        <w:t>Prescriber loyalty alone won't hold the franchise. The switch happens at the pharmacy counter and on the EOB statement. Without an active patient-side defense, branded-biologic out-of-pocket can run 4–6× biosimilar at copay reset, and payer-mandated step-throughs will lapse the patients who don't navigate them. Remicade lost 80% of US revenue even when biosimilars took 7 years to reach 50% share — because J&amp;J underinvested in patient retention.</w:t>
      </w:r>
    </w:p>
    <w:p>
      <w:pPr>
        <w:spacing w:before="0" w:after="40" w:line="288" w:lineRule="auto"/>
        <w:jc w:val="left"/>
      </w:pPr>
      <w:r>
        <w:rPr>
          <w:rFonts w:ascii="Calibri" w:hAnsi="Calibri"/>
          <w:b/>
          <w:i w:val="0"/>
          <w:color w:val="B8860B"/>
          <w:sz w:val="18"/>
        </w:rPr>
        <w:t>RECOMMENDATION</w:t>
      </w:r>
    </w:p>
    <w:p>
      <w:pPr>
        <w:spacing w:before="0" w:after="200" w:line="288" w:lineRule="auto"/>
        <w:jc w:val="left"/>
      </w:pPr>
      <w:r>
        <w:rPr>
          <w:rFonts w:ascii="Calibri" w:hAnsi="Calibri"/>
          <w:b/>
          <w:i w:val="0"/>
          <w:color w:val="1F2937"/>
          <w:sz w:val="21"/>
        </w:rPr>
        <w:t xml:space="preserve">Run a 3-track sequenced defense — </w:t>
      </w:r>
      <w:r>
        <w:rPr>
          <w:rFonts w:ascii="Calibri" w:hAnsi="Calibri"/>
          <w:b/>
          <w:i w:val="0"/>
          <w:color w:val="1E2761"/>
          <w:sz w:val="21"/>
        </w:rPr>
        <w:t>Defend</w:t>
      </w:r>
      <w:r>
        <w:rPr>
          <w:rFonts w:ascii="Calibri" w:hAnsi="Calibri"/>
          <w:b/>
          <w:i w:val="0"/>
          <w:color w:val="1F2937"/>
          <w:sz w:val="21"/>
        </w:rPr>
        <w:t xml:space="preserve"> patient retention, </w:t>
      </w:r>
      <w:r>
        <w:rPr>
          <w:rFonts w:ascii="Calibri" w:hAnsi="Calibri"/>
          <w:b/>
          <w:i w:val="0"/>
          <w:color w:val="1E2761"/>
          <w:sz w:val="21"/>
        </w:rPr>
        <w:t>Shift</w:t>
      </w:r>
      <w:r>
        <w:rPr>
          <w:rFonts w:ascii="Calibri" w:hAnsi="Calibri"/>
          <w:b/>
          <w:i w:val="0"/>
          <w:color w:val="1F2937"/>
          <w:sz w:val="21"/>
        </w:rPr>
        <w:t xml:space="preserve"> commercial weight to the adjacent launch, and </w:t>
      </w:r>
      <w:r>
        <w:rPr>
          <w:rFonts w:ascii="Calibri" w:hAnsi="Calibri"/>
          <w:b/>
          <w:i w:val="0"/>
          <w:color w:val="1E2761"/>
          <w:sz w:val="21"/>
        </w:rPr>
        <w:t>Preserve</w:t>
      </w:r>
      <w:r>
        <w:rPr>
          <w:rFonts w:ascii="Calibri" w:hAnsi="Calibri"/>
          <w:b w:val="0"/>
          <w:i w:val="0"/>
          <w:color w:val="1F2937"/>
          <w:sz w:val="21"/>
        </w:rPr>
        <w:t xml:space="preserve"> prescriber loyalty + payer access — with stage-gates at months 3, 6, 12 tied to adjacent-launch traction and biosimilar uptake signals. $35–55M redeployment, fully self-funded from established-indication HCP and DTC spend. Adjacent launch stays fully funded. Holds 60–70% of patient volume through biosimilar entry — Humira benchmark.</w:t>
      </w:r>
    </w:p>
    <w:p>
      <w:pPr>
        <w:spacing w:before="0" w:after="160"/>
        <w:pBdr>
          <w:bottom w:val="single" w:sz="6" w:space="1" w:color="1E2761"/>
        </w:pBdr>
      </w:pPr>
    </w:p>
    <w:p>
      <w:pPr>
        <w:spacing w:before="0" w:after="80" w:line="288" w:lineRule="auto"/>
        <w:jc w:val="left"/>
      </w:pPr>
      <w:r>
        <w:rPr>
          <w:rFonts w:ascii="Calibri" w:hAnsi="Calibri"/>
          <w:b/>
          <w:i w:val="0"/>
          <w:color w:val="B8860B"/>
          <w:sz w:val="18"/>
        </w:rPr>
        <w:t>THE THREE TRACKS</w:t>
      </w:r>
    </w:p>
    <w:p>
      <w:pPr>
        <w:spacing w:before="0" w:after="120" w:line="300" w:lineRule="auto"/>
        <w:jc w:val="left"/>
      </w:pPr>
      <w:r>
        <w:rPr>
          <w:rFonts w:ascii="Calibri" w:hAnsi="Calibri"/>
          <w:b/>
          <w:i w:val="0"/>
          <w:color w:val="1E2761"/>
          <w:sz w:val="22"/>
        </w:rPr>
        <w:t xml:space="preserve">Defend. </w:t>
      </w:r>
      <w:r>
        <w:rPr>
          <w:rFonts w:ascii="Calibri" w:hAnsi="Calibri"/>
          <w:b/>
          <w:i w:val="0"/>
          <w:color w:val="1F2937"/>
          <w:sz w:val="22"/>
        </w:rPr>
        <w:t xml:space="preserve">Patient retention. </w:t>
      </w:r>
      <w:r>
        <w:rPr>
          <w:rFonts w:ascii="Calibri" w:hAnsi="Calibri"/>
          <w:b w:val="0"/>
          <w:i w:val="0"/>
          <w:color w:val="1F2937"/>
          <w:sz w:val="21"/>
        </w:rPr>
        <w:t>Co-pay assistance expansion, hub services intensification, bridge / free-drug for payer-mandated step-throughs, patient-direct retention comms. Humira analog: ~70% volume retained 18 months post-biosimilar entry through the same playbook.</w:t>
      </w:r>
    </w:p>
    <w:p>
      <w:pPr>
        <w:spacing w:before="0" w:after="120" w:line="300" w:lineRule="auto"/>
        <w:jc w:val="left"/>
      </w:pPr>
      <w:r>
        <w:rPr>
          <w:rFonts w:ascii="Calibri" w:hAnsi="Calibri"/>
          <w:b/>
          <w:i w:val="0"/>
          <w:color w:val="1E2761"/>
          <w:sz w:val="22"/>
        </w:rPr>
        <w:t xml:space="preserve">Shift. </w:t>
      </w:r>
      <w:r>
        <w:rPr>
          <w:rFonts w:ascii="Calibri" w:hAnsi="Calibri"/>
          <w:b/>
          <w:i w:val="0"/>
          <w:color w:val="1F2937"/>
          <w:sz w:val="22"/>
        </w:rPr>
        <w:t xml:space="preserve">Commercial weight to the adjacent launch. </w:t>
      </w:r>
      <w:r>
        <w:rPr>
          <w:rFonts w:ascii="Calibri" w:hAnsi="Calibri"/>
          <w:b w:val="0"/>
          <w:i w:val="0"/>
          <w:color w:val="1F2937"/>
          <w:sz w:val="21"/>
        </w:rPr>
        <w:t>Adjacent indication HCP plan stays fully funded. Differentiate adjacent positioning — therapeutically distinct, not additive. Field redeployment design before launch month. Stelara analog: indication-mix push grew gastro from 30% to 55% of volume.</w:t>
      </w:r>
    </w:p>
    <w:p>
      <w:pPr>
        <w:spacing w:before="0" w:after="120" w:line="300" w:lineRule="auto"/>
        <w:jc w:val="left"/>
      </w:pPr>
      <w:r>
        <w:rPr>
          <w:rFonts w:ascii="Calibri" w:hAnsi="Calibri"/>
          <w:b/>
          <w:i w:val="0"/>
          <w:color w:val="1E2761"/>
          <w:sz w:val="22"/>
        </w:rPr>
        <w:t xml:space="preserve">Preserve. </w:t>
      </w:r>
      <w:r>
        <w:rPr>
          <w:rFonts w:ascii="Calibri" w:hAnsi="Calibri"/>
          <w:b/>
          <w:i w:val="0"/>
          <w:color w:val="1F2937"/>
          <w:sz w:val="22"/>
        </w:rPr>
        <w:t xml:space="preserve">Prescriber loyalty + payer access. </w:t>
      </w:r>
      <w:r>
        <w:rPr>
          <w:rFonts w:ascii="Calibri" w:hAnsi="Calibri"/>
          <w:b w:val="0"/>
          <w:i w:val="0"/>
          <w:color w:val="1F2937"/>
          <w:sz w:val="21"/>
        </w:rPr>
        <w:t>Multi-year payer rebate locks before biosimilar entry. KOL evidence platform (RWE, registry, post-hoc). Switch-back program when biosimilars fail. Sub-indication contracting tilted toward highest switching friction. AbbVie playbook: pre-launch contract locks held the window.</w:t>
      </w:r>
    </w:p>
    <w:p>
      <w:pPr>
        <w:spacing w:before="0" w:after="160"/>
        <w:pBdr>
          <w:bottom w:val="single" w:sz="6" w:space="1" w:color="1E2761"/>
        </w:pBdr>
      </w:pPr>
    </w:p>
    <w:p>
      <w:pPr>
        <w:spacing w:before="0" w:after="80" w:line="288" w:lineRule="auto"/>
        <w:jc w:val="left"/>
      </w:pPr>
      <w:r>
        <w:rPr>
          <w:rFonts w:ascii="Calibri" w:hAnsi="Calibri"/>
          <w:b/>
          <w:i w:val="0"/>
          <w:color w:val="B8860B"/>
          <w:sz w:val="18"/>
        </w:rPr>
        <w:t>BUDGET — $35–55M REDEPLOYMENT, SELF-FUNDED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1E2761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↑  WHERE BUDGET GOES — patient services</w:t>
            </w:r>
          </w:p>
        </w:tc>
        <w:tc>
          <w:tcPr>
            <w:tcW w:type="dxa" w:w="5112"/>
            <w:shd w:val="clear" w:color="auto" w:fill="141B44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↓  WHERE IT COMES FROM — redeployment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rPr>
                <w:color w:val="1F2937"/>
                <w:sz w:val="20"/>
              </w:rPr>
              <w:t>Co-pay assistance expansion</w:t>
            </w:r>
            <w:r>
              <w:t xml:space="preserve">  </w:t>
            </w:r>
            <w:r>
              <w:rPr>
                <w:b/>
                <w:color w:val="1E2761"/>
                <w:sz w:val="20"/>
              </w:rPr>
              <w:t>$15–35M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rPr>
                <w:b w:val="0"/>
                <w:color w:val="1F2937"/>
                <w:sz w:val="20"/>
              </w:rPr>
              <w:t>HCP promo · established indication</w:t>
            </w:r>
            <w:r>
              <w:t xml:space="preserve">  </w:t>
            </w:r>
            <w:r>
              <w:rPr>
                <w:b/>
                <w:color w:val="1E2761"/>
                <w:sz w:val="20"/>
              </w:rPr>
              <w:t>−$20–40M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rPr>
                <w:color w:val="1F2937"/>
                <w:sz w:val="20"/>
              </w:rPr>
              <w:t>Hub services intensification</w:t>
            </w:r>
            <w:r>
              <w:t xml:space="preserve">  </w:t>
            </w:r>
            <w:r>
              <w:rPr>
                <w:b/>
                <w:color w:val="1E2761"/>
                <w:sz w:val="20"/>
              </w:rPr>
              <w:t>$8–15M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rPr>
                <w:b w:val="0"/>
                <w:color w:val="1F2937"/>
                <w:sz w:val="20"/>
              </w:rPr>
              <w:t>DTC · established indication</w:t>
            </w:r>
            <w:r>
              <w:t xml:space="preserve">  </w:t>
            </w:r>
            <w:r>
              <w:rPr>
                <w:b/>
                <w:color w:val="1E2761"/>
                <w:sz w:val="20"/>
              </w:rPr>
              <w:t>−$15–30M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rPr>
                <w:color w:val="1F2937"/>
                <w:sz w:val="20"/>
              </w:rPr>
              <w:t>Bridge / free-drug program</w:t>
            </w:r>
            <w:r>
              <w:t xml:space="preserve">  </w:t>
            </w:r>
            <w:r>
              <w:rPr>
                <w:b/>
                <w:color w:val="1E2761"/>
                <w:sz w:val="20"/>
              </w:rPr>
              <w:t>$5–12M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rPr>
                <w:b w:val="0"/>
                <w:color w:val="1F2937"/>
                <w:sz w:val="20"/>
              </w:rPr>
              <w:t>Non-critical medical affairs</w:t>
            </w:r>
            <w:r>
              <w:t xml:space="preserve">  </w:t>
            </w:r>
            <w:r>
              <w:rPr>
                <w:b/>
                <w:color w:val="1E2761"/>
                <w:sz w:val="20"/>
              </w:rPr>
              <w:t>−$3–8M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rPr>
                <w:color w:val="1F2937"/>
                <w:sz w:val="20"/>
              </w:rPr>
              <w:t>Patient retention comms</w:t>
            </w:r>
            <w:r>
              <w:t xml:space="preserve">  </w:t>
            </w:r>
            <w:r>
              <w:rPr>
                <w:b/>
                <w:color w:val="1E2761"/>
                <w:sz w:val="20"/>
              </w:rPr>
              <w:t>$4–8M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rPr>
                <w:b/>
                <w:color w:val="B8860B"/>
                <w:sz w:val="20"/>
              </w:rPr>
              <w:t>DO NOT CUT — adjacent launch spend</w:t>
            </w:r>
            <w:r>
              <w:t xml:space="preserve">  </w:t>
            </w:r>
            <w:r>
              <w:rPr>
                <w:b/>
                <w:color w:val="1E2761"/>
                <w:sz w:val="20"/>
              </w:rPr>
              <w:t>$0</w:t>
            </w:r>
          </w:p>
        </w:tc>
      </w:tr>
      <w:tr>
        <w:tc>
          <w:tcPr>
            <w:tcW w:type="dxa" w:w="5112"/>
            <w:shd w:val="clear" w:color="auto" w:fill="1E2761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Patient services subtotal: $32–70M</w:t>
            </w:r>
          </w:p>
        </w:tc>
        <w:tc>
          <w:tcPr>
            <w:tcW w:type="dxa" w:w="5112"/>
            <w:shd w:val="clear" w:color="auto" w:fill="141B44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Reallocation envelope: −$38–78M</w:t>
            </w:r>
          </w:p>
        </w:tc>
      </w:tr>
    </w:tbl>
    <w:p>
      <w:pPr>
        <w:spacing w:before="0" w:after="80" w:line="288" w:lineRule="auto"/>
        <w:jc w:val="left"/>
      </w:pPr>
      <w:r>
        <w:rPr>
          <w:rFonts w:ascii="Calibri" w:hAnsi="Calibri"/>
          <w:b w:val="0"/>
          <w:i w:val="0"/>
          <w:color w:val="1F2937"/>
          <w:sz w:val="4"/>
        </w:rPr>
      </w:r>
    </w:p>
    <w:p>
      <w:pPr>
        <w:spacing w:before="0" w:after="160" w:line="300" w:lineRule="auto"/>
        <w:jc w:val="left"/>
      </w:pPr>
      <w:r>
        <w:rPr>
          <w:rFonts w:ascii="Calibri" w:hAnsi="Calibri"/>
          <w:b/>
          <w:i w:val="0"/>
          <w:color w:val="1E2761"/>
          <w:sz w:val="21"/>
        </w:rPr>
        <w:t xml:space="preserve">Net read. </w:t>
      </w:r>
      <w:r>
        <w:rPr>
          <w:rFonts w:ascii="Calibri" w:hAnsi="Calibri"/>
          <w:b w:val="0"/>
          <w:i w:val="0"/>
          <w:color w:val="1F2937"/>
          <w:sz w:val="21"/>
        </w:rPr>
        <w:t>Patient services intensification ($32–70M) sits within the reallocation envelope (−$38–78M). Recommended pull: HCP promo + DTC on the established indication. Hold adjacent launch spend intact. Lowest-signal-risk cuts; defense fully funded; offensive launch protected.</w:t>
      </w:r>
    </w:p>
    <w:p>
      <w:pPr>
        <w:spacing w:before="0" w:after="160"/>
        <w:pBdr>
          <w:bottom w:val="single" w:sz="6" w:space="1" w:color="1E2761"/>
        </w:pBdr>
      </w:pPr>
    </w:p>
    <w:p>
      <w:pPr>
        <w:spacing w:before="0" w:after="80" w:line="288" w:lineRule="auto"/>
        <w:jc w:val="left"/>
      </w:pPr>
      <w:r>
        <w:rPr>
          <w:rFonts w:ascii="Calibri" w:hAnsi="Calibri"/>
          <w:b/>
          <w:i w:val="0"/>
          <w:color w:val="B8860B"/>
          <w:sz w:val="18"/>
        </w:rPr>
        <w:t>WHAT THE INDUSTRY DATA SAYS</w:t>
      </w:r>
    </w:p>
    <w:p>
      <w:pPr>
        <w:spacing w:before="0" w:after="80" w:line="288" w:lineRule="auto"/>
        <w:jc w:val="left"/>
      </w:pPr>
      <w:r>
        <w:rPr>
          <w:rFonts w:ascii="Calibri" w:hAnsi="Calibri"/>
          <w:b/>
          <w:i w:val="0"/>
          <w:color w:val="1E2761"/>
          <w:sz w:val="22"/>
        </w:rPr>
        <w:t xml:space="preserve">Humira.  </w:t>
      </w:r>
      <w:r>
        <w:rPr>
          <w:rFonts w:ascii="Calibri" w:hAnsi="Calibri"/>
          <w:b/>
          <w:i w:val="0"/>
          <w:color w:val="1F2937"/>
          <w:sz w:val="21"/>
        </w:rPr>
        <w:t xml:space="preserve">Patient-side moat is the highest-ROI lever.  </w:t>
      </w:r>
      <w:r>
        <w:rPr>
          <w:rFonts w:ascii="Calibri" w:hAnsi="Calibri"/>
          <w:b w:val="0"/>
          <w:i w:val="0"/>
          <w:color w:val="1F2937"/>
          <w:sz w:val="21"/>
        </w:rPr>
        <w:t>Co-pay program + hub + bridge held ~70% of US Humira volume 18 months post-biosimilar. ~$4–5B defended vs. consensus base case. Spend the patient-services dollar first.</w:t>
      </w:r>
    </w:p>
    <w:p>
      <w:pPr>
        <w:spacing w:before="0" w:after="80" w:line="288" w:lineRule="auto"/>
        <w:jc w:val="left"/>
      </w:pPr>
      <w:r>
        <w:rPr>
          <w:rFonts w:ascii="Calibri" w:hAnsi="Calibri"/>
          <w:b/>
          <w:i w:val="0"/>
          <w:color w:val="1E2761"/>
          <w:sz w:val="22"/>
        </w:rPr>
        <w:t xml:space="preserve">Stelara.  </w:t>
      </w:r>
      <w:r>
        <w:rPr>
          <w:rFonts w:ascii="Calibri" w:hAnsi="Calibri"/>
          <w:b/>
          <w:i w:val="0"/>
          <w:color w:val="1F2937"/>
          <w:sz w:val="21"/>
        </w:rPr>
        <w:t xml:space="preserve">Push volume into hard-to-switch indications pre-biosimilar.  </w:t>
      </w:r>
      <w:r>
        <w:rPr>
          <w:rFonts w:ascii="Calibri" w:hAnsi="Calibri"/>
          <w:b w:val="0"/>
          <w:i w:val="0"/>
          <w:color w:val="1F2937"/>
          <w:sz w:val="21"/>
        </w:rPr>
        <w:t>IBD share of total Stelara grew from 30% to 55% by sequenced indication expansions. Switching friction in IBD runs 20–30 points lower than in dermatology. Adjacent launch is our version of this.</w:t>
      </w:r>
    </w:p>
    <w:p>
      <w:pPr>
        <w:spacing w:before="0" w:after="80" w:line="288" w:lineRule="auto"/>
        <w:jc w:val="left"/>
      </w:pPr>
      <w:r>
        <w:rPr>
          <w:rFonts w:ascii="Calibri" w:hAnsi="Calibri"/>
          <w:b/>
          <w:i w:val="0"/>
          <w:color w:val="1E2761"/>
          <w:sz w:val="22"/>
        </w:rPr>
        <w:t xml:space="preserve">Remicade.  </w:t>
      </w:r>
      <w:r>
        <w:rPr>
          <w:rFonts w:ascii="Calibri" w:hAnsi="Calibri"/>
          <w:b/>
          <w:i w:val="0"/>
          <w:color w:val="1F2937"/>
          <w:sz w:val="21"/>
        </w:rPr>
        <w:t xml:space="preserve">Time alone is not a defense.  </w:t>
      </w:r>
      <w:r>
        <w:rPr>
          <w:rFonts w:ascii="Calibri" w:hAnsi="Calibri"/>
          <w:b w:val="0"/>
          <w:i w:val="0"/>
          <w:color w:val="1F2937"/>
          <w:sz w:val="21"/>
        </w:rPr>
        <w:t>Biosimilars took 7 years to reach 50% share — but Remicade US revenue went from $4.8B (2016) to $0.9B (2023). J&amp;J underinvested in patient retention. We will not repeat that.</w:t>
      </w:r>
    </w:p>
    <w:p>
      <w:pPr>
        <w:spacing w:before="0" w:after="160"/>
        <w:pBdr>
          <w:bottom w:val="single" w:sz="6" w:space="1" w:color="1E2761"/>
        </w:pBdr>
      </w:pPr>
    </w:p>
    <w:p>
      <w:pPr>
        <w:spacing w:before="0" w:after="80" w:line="288" w:lineRule="auto"/>
        <w:jc w:val="left"/>
      </w:pPr>
      <w:r>
        <w:rPr>
          <w:rFonts w:ascii="Calibri" w:hAnsi="Calibri"/>
          <w:b/>
          <w:i w:val="0"/>
          <w:color w:val="B8860B"/>
          <w:sz w:val="18"/>
        </w:rPr>
        <w:t>STAGE-GATES + WHAT TO DEFEND</w:t>
      </w:r>
    </w:p>
    <w:p>
      <w:pPr>
        <w:spacing w:before="0" w:after="40" w:line="288" w:lineRule="auto"/>
        <w:jc w:val="left"/>
      </w:pPr>
      <w:r>
        <w:rPr>
          <w:rFonts w:ascii="Calibri" w:hAnsi="Calibri"/>
          <w:b/>
          <w:i w:val="0"/>
          <w:color w:val="1E2761"/>
          <w:sz w:val="21"/>
        </w:rPr>
        <w:t xml:space="preserve">Mo 3.  </w:t>
      </w:r>
      <w:r>
        <w:rPr>
          <w:rFonts w:ascii="Calibri" w:hAnsi="Calibri"/>
          <w:b w:val="0"/>
          <w:i w:val="0"/>
          <w:color w:val="1F2937"/>
          <w:sz w:val="21"/>
        </w:rPr>
        <w:t>Adjacent launch readiness check — sales force pivot tested; KOL platform live; patient-services at run-rate.</w:t>
      </w:r>
    </w:p>
    <w:p>
      <w:pPr>
        <w:spacing w:before="0" w:after="40" w:line="288" w:lineRule="auto"/>
        <w:jc w:val="left"/>
      </w:pPr>
      <w:r>
        <w:rPr>
          <w:rFonts w:ascii="Calibri" w:hAnsi="Calibri"/>
          <w:b/>
          <w:i w:val="0"/>
          <w:color w:val="1E2761"/>
          <w:sz w:val="21"/>
        </w:rPr>
        <w:t xml:space="preserve">Mo 6.  </w:t>
      </w:r>
      <w:r>
        <w:rPr>
          <w:rFonts w:ascii="Calibri" w:hAnsi="Calibri"/>
          <w:b w:val="0"/>
          <w:i w:val="0"/>
          <w:color w:val="1F2937"/>
          <w:sz w:val="21"/>
        </w:rPr>
        <w:t>Adjacent launch + Track 2 weight shift — first 90-day adjacent NRx + reach vs. plan; defense holds ≥95% baseline.</w:t>
      </w:r>
    </w:p>
    <w:p>
      <w:pPr>
        <w:spacing w:before="0" w:after="40" w:line="288" w:lineRule="auto"/>
        <w:jc w:val="left"/>
      </w:pPr>
      <w:r>
        <w:rPr>
          <w:rFonts w:ascii="Calibri" w:hAnsi="Calibri"/>
          <w:b/>
          <w:i w:val="0"/>
          <w:color w:val="1E2761"/>
          <w:sz w:val="21"/>
        </w:rPr>
        <w:t xml:space="preserve">Mo 12.  </w:t>
      </w:r>
      <w:r>
        <w:rPr>
          <w:rFonts w:ascii="Calibri" w:hAnsi="Calibri"/>
          <w:b w:val="0"/>
          <w:i w:val="0"/>
          <w:color w:val="1F2937"/>
          <w:sz w:val="21"/>
        </w:rPr>
        <w:t>Biosimilar entry, re-evaluate spend mix — if patient retention &lt;60%, escalate co-pay/bridge; if &gt;70%, scale back.</w:t>
      </w:r>
    </w:p>
    <w:p>
      <w:pPr>
        <w:spacing w:before="80" w:after="40" w:line="288" w:lineRule="auto"/>
        <w:jc w:val="left"/>
      </w:pPr>
      <w:r>
        <w:rPr>
          <w:rFonts w:ascii="Calibri" w:hAnsi="Calibri"/>
          <w:b/>
          <w:i w:val="0"/>
          <w:color w:val="1E2761"/>
          <w:sz w:val="20"/>
        </w:rPr>
        <w:t>Ready to defend:</w:t>
      </w:r>
    </w:p>
    <w:p>
      <w:pPr>
        <w:spacing w:before="0" w:after="40" w:line="288" w:lineRule="auto"/>
        <w:jc w:val="left"/>
      </w:pPr>
      <w:r>
        <w:rPr>
          <w:rFonts w:ascii="Calibri" w:hAnsi="Calibri"/>
          <w:b/>
          <w:i w:val="0"/>
          <w:color w:val="B8860B"/>
          <w:sz w:val="21"/>
        </w:rPr>
        <w:t xml:space="preserve">▸  </w:t>
      </w:r>
      <w:r>
        <w:rPr>
          <w:rFonts w:ascii="Calibri" w:hAnsi="Calibri"/>
          <w:b w:val="0"/>
          <w:i w:val="0"/>
          <w:color w:val="1F2937"/>
          <w:sz w:val="21"/>
        </w:rPr>
        <w:t>6-month adjacent-launch window is tight — pre-launch field readiness must hit week 16.</w:t>
      </w:r>
    </w:p>
    <w:p>
      <w:pPr>
        <w:spacing w:before="0" w:after="40" w:line="288" w:lineRule="auto"/>
        <w:jc w:val="left"/>
      </w:pPr>
      <w:r>
        <w:rPr>
          <w:rFonts w:ascii="Calibri" w:hAnsi="Calibri"/>
          <w:b/>
          <w:i w:val="0"/>
          <w:color w:val="B8860B"/>
          <w:sz w:val="21"/>
        </w:rPr>
        <w:t xml:space="preserve">▸  </w:t>
      </w:r>
      <w:r>
        <w:rPr>
          <w:rFonts w:ascii="Calibri" w:hAnsi="Calibri"/>
          <w:b w:val="0"/>
          <w:i w:val="0"/>
          <w:color w:val="1F2937"/>
          <w:sz w:val="21"/>
        </w:rPr>
        <w:t>Sub-indication granularity (rheum/derm/gastro) — tilt patient-services toward highest switching friction.</w:t>
      </w:r>
    </w:p>
    <w:p>
      <w:pPr>
        <w:spacing w:before="0" w:after="40" w:line="288" w:lineRule="auto"/>
        <w:jc w:val="left"/>
      </w:pPr>
      <w:r>
        <w:rPr>
          <w:rFonts w:ascii="Calibri" w:hAnsi="Calibri"/>
          <w:b/>
          <w:i w:val="0"/>
          <w:color w:val="B8860B"/>
          <w:sz w:val="21"/>
        </w:rPr>
        <w:t xml:space="preserve">▸  </w:t>
      </w:r>
      <w:r>
        <w:rPr>
          <w:rFonts w:ascii="Calibri" w:hAnsi="Calibri"/>
          <w:b w:val="0"/>
          <w:i w:val="0"/>
          <w:color w:val="1F2937"/>
          <w:sz w:val="21"/>
        </w:rPr>
        <w:t>Payer-mandate risk if biosimilar gets exclusive — pre-modeled +$8–15M offset by deeper HCP cut.</w:t>
      </w:r>
    </w:p>
    <w:p>
      <w:pPr>
        <w:spacing w:before="0" w:after="80"/>
        <w:pBdr>
          <w:bottom w:val="single" w:sz="6" w:space="1" w:color="1E2761"/>
        </w:pBdr>
      </w:pPr>
    </w:p>
    <w:p>
      <w:pPr>
        <w:spacing w:before="0" w:after="0" w:line="288" w:lineRule="auto"/>
        <w:jc w:val="center"/>
      </w:pPr>
      <w:r>
        <w:rPr>
          <w:rFonts w:ascii="Calibri" w:hAnsi="Calibri"/>
          <w:b w:val="0"/>
          <w:i/>
          <w:color w:val="6B7280"/>
          <w:sz w:val="16"/>
        </w:rPr>
        <w:t>Produced by the Rapid POV Engine in ~75 minutes from initial brief.  ·  raulkulkarni@gmail.com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