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INTRODUCCIÓN</w:t>
      </w:r>
    </w:p>
    <w:p>
      <w:pPr>
        <w:pStyle w:val="Normal"/>
        <w:jc w:val="both"/>
        <w:rPr/>
      </w:pPr>
      <w:r>
        <w:rPr/>
        <w:tab/>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[Se debe referenciar]</w:t>
      </w:r>
    </w:p>
    <w:p>
      <w:pPr>
        <w:pStyle w:val="Normal"/>
        <w:jc w:val="both"/>
        <w:rPr/>
      </w:pPr>
      <w:r>
        <w:rPr/>
        <w:tab/>
        <w:t>En la investigación de la radiación solar un desafío de gran importancia es la falta de registros  que abarquen un largo plazo, típicamente se requiere una serie temporal de medidas con cierto nivel de calidad que abarque una década o más para caracterizar la disponibilidad del recurso solar en un sitio. [referenciar]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en ingles), lo que constituye a una típica estación de solarimétrica. </w:t>
      </w:r>
    </w:p>
    <w:p>
      <w:pPr>
        <w:pStyle w:val="Normal"/>
        <w:jc w:val="both"/>
        <w:rPr/>
      </w:pPr>
      <w:r>
        <w:rPr/>
        <w:tab/>
        <w:t>La estimación mediante estaciones en tierra permite conocer el comportamiento de la GHI a gran nivel de detalle, con registros que típicamente 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las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Diversos trabajos han explorado en uso de técnicas de regresi</w:t>
      </w:r>
      <w:r>
        <w:rPr>
          <w:rFonts w:eastAsia="Calibri" w:cs="" w:cstheme="minorBidi" w:eastAsiaTheme="minorHAnsi"/>
          <w:color w:val="auto"/>
          <w:kern w:val="2"/>
          <w:sz w:val="22"/>
          <w:szCs w:val="22"/>
          <w:lang w:val="es-AR" w:eastAsia="en-US" w:bidi="ar-SA"/>
          <w14:ligatures w14:val="standardContextual"/>
        </w:rPr>
        <w:t>ón de</w:t>
      </w:r>
      <w:r>
        <w:rPr/>
        <w:t xml:space="preserve"> Machine Learning para obtener distintas funciones que sirvan el propósito del Site Adaptation (SA). El proceso consiste en tomar como variable objetivo (target) la GHI medida y se toma como variable regresora la GHI modelada por sat</w:t>
      </w:r>
      <w:r>
        <w:rPr>
          <w:rFonts w:eastAsia="Calibri" w:cs="" w:cstheme="minorBidi" w:eastAsiaTheme="minorHAnsi"/>
          <w:color w:val="auto"/>
          <w:kern w:val="2"/>
          <w:sz w:val="22"/>
          <w:szCs w:val="22"/>
          <w:lang w:val="es-AR" w:eastAsia="en-US" w:bidi="ar-SA"/>
          <w14:ligatures w14:val="standardContextual"/>
        </w:rPr>
        <w:t>élite. Además suelen también añadirse al conjunto de variables regresoras otras variables de fuente satelital como la temperatura, la presión o la humedad relativa, entre otras, con el fin de incrementar la información relacionada con el target.</w:t>
      </w:r>
    </w:p>
    <w:p>
      <w:pPr>
        <w:pStyle w:val="Normal"/>
        <w:jc w:val="both"/>
        <w:rPr/>
      </w:pPr>
      <w:r>
        <w:rPr/>
        <w:tab/>
        <w:t>El objetivo de este trabajo es evaluar distintos algoritmos de regresi</w:t>
      </w:r>
      <w:r>
        <w:rPr>
          <w:rFonts w:eastAsia="Calibri" w:cs="" w:cstheme="minorBidi" w:eastAsiaTheme="minorHAnsi"/>
          <w:color w:val="auto"/>
          <w:kern w:val="2"/>
          <w:sz w:val="22"/>
          <w:szCs w:val="22"/>
          <w:lang w:val="es-AR" w:eastAsia="en-US" w:bidi="ar-SA"/>
          <w14:ligatures w14:val="standardContextual"/>
        </w:rPr>
        <w:t>ón de ML en proceso de SA aplicado</w:t>
      </w:r>
      <w:r>
        <w:rPr/>
        <w:t xml:space="preserve"> de GHI medida en Salta durante los años 2023 y 2024, con el fin de examinar la variabilidad de la irradiancia solar en la región. Se aborda también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r>
    </w:p>
    <w:p>
      <w:pPr>
        <w:pStyle w:val="Normal"/>
        <w:jc w:val="both"/>
        <w:rPr/>
      </w:pPr>
      <w:r>
        <w:rPr/>
      </w:r>
    </w:p>
    <w:p>
      <w:pPr>
        <w:pStyle w:val="Subttulo"/>
        <w:rPr/>
      </w:pPr>
      <w:r>
        <w:rPr/>
        <w:t>MATERIALES Y MÉTODOS</w:t>
      </w:r>
    </w:p>
    <w:p>
      <w:pPr>
        <w:pStyle w:val="Subttulo"/>
        <w:rPr/>
      </w:pPr>
      <w:r>
        <w:rPr/>
        <w:t xml:space="preserve">Medidas en tierra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1424082590"/>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1173575471"/>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val="false"/>
              <w:suppressAutoHyphens w:val="true"/>
              <w:spacing w:before="0" w:after="160"/>
              <w:jc w:val="center"/>
              <w:rPr>
                <w:lang w:val="en-US"/>
              </w:rPr>
            </w:pPr>
            <w:r>
              <w:rPr>
                <w:rFonts w:eastAsia="Calibri" w:cs=""/>
                <w:kern w:val="2"/>
                <w:sz w:val="22"/>
                <w:szCs w:val="22"/>
                <w:lang w:val="en-US" w:eastAsia="en-US" w:bidi="ar-SA"/>
              </w:rPr>
              <w:t xml:space="preserve">GHI &lt; 1.5 * 1361.7 * </w:t>
            </w:r>
            <w:r>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val="false"/>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[referencia] En este trabajo se utilizar</w:t>
      </w:r>
      <w:r>
        <w:rPr>
          <w:rFonts w:eastAsia="Calibri" w:cs="" w:cstheme="minorBidi" w:eastAsiaTheme="minorHAnsi"/>
          <w:color w:val="auto"/>
          <w:kern w:val="2"/>
          <w:sz w:val="22"/>
          <w:szCs w:val="22"/>
          <w:lang w:val="es-AR" w:eastAsia="en-US" w:bidi="ar-SA"/>
          <w14:ligatures w14:val="standardContextual"/>
        </w:rPr>
        <w:t xml:space="preserve">á la BDS perteneciente a CAMS. </w:t>
      </w:r>
    </w:p>
    <w:p>
      <w:pPr>
        <w:pStyle w:val="LOnormal"/>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pPr>
      <w:r>
        <w:rPr>
          <w:rFonts w:eastAsia="Calibri" w:cs="" w:cstheme="minorBidi" w:eastAsiaTheme="minorHAnsi"/>
          <w:color w:val="auto"/>
          <w:kern w:val="2"/>
          <w:sz w:val="22"/>
          <w:szCs w:val="22"/>
          <w:lang w:val="es-AR" w:eastAsia="en-US" w:bidi="ar-SA"/>
          <w14:ligatures w14:val="standardContextual"/>
        </w:rPr>
      </w:r>
    </w:p>
    <w:p>
      <w:pPr>
        <w:pStyle w:val="LOnormal"/>
        <w:rPr/>
      </w:pPr>
      <w:r>
        <w:rPr>
          <w:rFonts w:eastAsia="Calibri" w:cs="" w:cstheme="minorBidi" w:eastAsiaTheme="minorHAnsi"/>
          <w:color w:val="auto"/>
          <w:kern w:val="2"/>
          <w:sz w:val="22"/>
          <w:szCs w:val="22"/>
          <w:lang w:val="es-AR" w:eastAsia="en-US" w:bidi="ar-SA"/>
          <w14:ligatures w14:val="standardContextual"/>
        </w:rPr>
        <w:t>CAMS provee estimativos para un total de treinta y tres variables atmosféricas entre las cuales se encuentra la GHI. Cada una de estas variables se encuentran en escala temporal de un minuto. Las variables se presentan en la siguiente tabla:</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Para el proceso de SA se han emparejado las variables regresoras de la tabla T con la GHI medida. Luego se ha divido el conjunto de datos en un conjunto de entrenamiento con los datos registrados en el año 2023, lo que corresponde al 72.5% de lo datos, dejando los datos registrados en el año 2024 en un set de testeo, es decir el 27.5% del total de datos, con el fin de realizar una validaci</w:t>
      </w:r>
      <w:r>
        <w:rPr>
          <w:rFonts w:eastAsia="Calibri" w:cs="" w:cstheme="minorBidi" w:eastAsiaTheme="minorHAnsi"/>
          <w:color w:val="auto"/>
          <w:kern w:val="2"/>
          <w:sz w:val="22"/>
          <w:szCs w:val="22"/>
          <w:lang w:val="es-AR" w:eastAsia="en-US" w:bidi="ar-SA"/>
          <w14:ligatures w14:val="standardContextual"/>
        </w:rPr>
        <w:t>ón cruzada. Dicha validación se realizó teniendo en cuenta tres estadísticos, MAE, MBE y RMSE.</w:t>
      </w:r>
      <w:r>
        <w:rPr>
          <w:rFonts w:eastAsia="Calibri" w:cs="" w:cstheme="minorBidi" w:eastAsiaTheme="minorHAnsi"/>
          <w:color w:val="auto"/>
          <w:kern w:val="2"/>
          <w:sz w:val="22"/>
          <w:szCs w:val="22"/>
          <w:u w:val="none"/>
          <w:lang w:val="es-AR" w:eastAsia="en-US" w:bidi="ar-SA"/>
          <w14:ligatures w14:val="standardContextual"/>
        </w:rPr>
        <w:t xml:space="preserve"> Los mismos también son presentados en términos porcentuales relativos a la media de la medida.</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Normal"/>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MBE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t>(1)</w:t>
      </w:r>
    </w:p>
    <w:p>
      <w:pPr>
        <w:pStyle w:val="Normal"/>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MAE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t>(2)</w:t>
      </w:r>
    </w:p>
    <w:p>
      <w:pPr>
        <w:pStyle w:val="Contenidodelatabla"/>
        <w:widowControl w:val="false"/>
        <w:spacing w:before="0" w:after="160"/>
        <w:jc w:val="center"/>
        <w:rPr>
          <w:rFonts w:ascii="Times New Roman" w:hAnsi="Times New Roman"/>
        </w:rPr>
      </w:pPr>
      <w:r>
        <w:rPr/>
      </w:r>
      <m:oMath xmlns:m="http://schemas.openxmlformats.org/officeDocument/2006/math">
        <m:r>
          <w:rPr>
            <w:rFonts w:ascii="Cambria Math" w:hAnsi="Cambria Math"/>
          </w:rPr>
          <m:t xml:space="preserve">RMSE</m:t>
        </m:r>
        <m:r>
          <w:rPr>
            <w:rFonts w:ascii="Cambria Math" w:hAnsi="Cambria Math"/>
          </w:rPr>
          <m:t xml:space="preserve">=</m:t>
        </m:r>
        <m:f>
          <m:num>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e>
            </m:rad>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ab/>
        <w:t>(3)</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996898967"/>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Application>LibreOffice/7.3.7.2$Linux_X86_64 LibreOffice_project/30$Build-2</Application>
  <AppVersion>15.0000</AppVersion>
  <Pages>5</Pages>
  <Words>2856</Words>
  <Characters>15093</Characters>
  <CharactersWithSpaces>17854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2024-06-22T11:44:19Z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