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20"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20"/>
    <w:bookmarkStart w:id="28"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21">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22">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23">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24">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25">
        <w:r>
          <w:rPr>
            <w:rStyle w:val="Hyperlink"/>
          </w:rPr>
          <w:t xml:space="preserve">here</w:t>
        </w:r>
      </w:hyperlink>
      <w:r>
        <w:t xml:space="preserve">. Solutions for data archiving can be found</w:t>
      </w:r>
      <w:r>
        <w:t xml:space="preserve"> </w:t>
      </w:r>
      <w:hyperlink r:id="rId26">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27">
        <w:r>
          <w:rPr>
            <w:rStyle w:val="Hyperlink"/>
          </w:rPr>
          <w:t xml:space="preserve">data anonymization</w:t>
        </w:r>
      </w:hyperlink>
      <w:r>
        <w:t xml:space="preserve"> </w:t>
      </w:r>
      <w:r>
        <w:t xml:space="preserve">is a complex problem, and should not be taken lightly.</w:t>
      </w:r>
    </w:p>
    <w:bookmarkEnd w:id="28"/>
    <w:bookmarkStart w:id="32"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29">
        <w:r>
          <w:rPr>
            <w:rStyle w:val="Hyperlink"/>
          </w:rPr>
          <w:t xml:space="preserve">Working with personal data</w:t>
        </w:r>
      </w:hyperlink>
      <w:r>
        <w:br/>
      </w:r>
    </w:p>
    <w:p>
      <w:pPr>
        <w:pStyle w:val="Compact"/>
        <w:numPr>
          <w:ilvl w:val="0"/>
          <w:numId w:val="1007"/>
        </w:numPr>
      </w:pPr>
      <w:hyperlink r:id="rId21">
        <w:r>
          <w:rPr>
            <w:rStyle w:val="Hyperlink"/>
          </w:rPr>
          <w:t xml:space="preserve">The privacy five-step plan</w:t>
        </w:r>
      </w:hyperlink>
      <w:r>
        <w:br/>
      </w:r>
    </w:p>
    <w:p>
      <w:pPr>
        <w:pStyle w:val="Compact"/>
        <w:numPr>
          <w:ilvl w:val="0"/>
          <w:numId w:val="1007"/>
        </w:numPr>
      </w:pPr>
      <w:hyperlink r:id="rId30">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31">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32"/>
    <w:bookmarkStart w:id="33"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2025-11-24T06:17:20Z</dcterms:created>
  <dcterms:modified xsi:type="dcterms:W3CDTF">2025-11-24T06:17:20Z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