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20"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20"/>
    <w:bookmarkStart w:id="28"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21">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22">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23">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24">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25">
        <w:r>
          <w:rPr>
            <w:rStyle w:val="Hyperlink"/>
          </w:rPr>
          <w:t xml:space="preserve">here</w:t>
        </w:r>
      </w:hyperlink>
      <w:r>
        <w:t xml:space="preserve">. Solutions for data archiving can be found</w:t>
      </w:r>
      <w:r>
        <w:t xml:space="preserve"> </w:t>
      </w:r>
      <w:hyperlink r:id="rId26">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27">
        <w:r>
          <w:rPr>
            <w:rStyle w:val="Hyperlink"/>
          </w:rPr>
          <w:t xml:space="preserve">data anonymization</w:t>
        </w:r>
      </w:hyperlink>
      <w:r>
        <w:t xml:space="preserve"> </w:t>
      </w:r>
      <w:r>
        <w:t xml:space="preserve">is a complex problem, and should not be taken lightly.</w:t>
      </w:r>
    </w:p>
    <w:bookmarkEnd w:id="28"/>
    <w:bookmarkStart w:id="32"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29">
        <w:r>
          <w:rPr>
            <w:rStyle w:val="Hyperlink"/>
          </w:rPr>
          <w:t xml:space="preserve">Working with personal data</w:t>
        </w:r>
      </w:hyperlink>
      <w:r>
        <w:br/>
      </w:r>
    </w:p>
    <w:p>
      <w:pPr>
        <w:pStyle w:val="Compact"/>
        <w:numPr>
          <w:ilvl w:val="0"/>
          <w:numId w:val="1007"/>
        </w:numPr>
      </w:pPr>
      <w:hyperlink r:id="rId21">
        <w:r>
          <w:rPr>
            <w:rStyle w:val="Hyperlink"/>
          </w:rPr>
          <w:t xml:space="preserve">The privacy five-step plan</w:t>
        </w:r>
      </w:hyperlink>
      <w:r>
        <w:br/>
      </w:r>
    </w:p>
    <w:p>
      <w:pPr>
        <w:pStyle w:val="Compact"/>
        <w:numPr>
          <w:ilvl w:val="0"/>
          <w:numId w:val="1007"/>
        </w:numPr>
      </w:pPr>
      <w:hyperlink r:id="rId30">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31">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32"/>
    <w:bookmarkStart w:id="33"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2026-03-09T06:46:22Z</dcterms:created>
  <dcterms:modified xsi:type="dcterms:W3CDTF">2026-03-09T06:46:22Z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