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v0.5,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2020</w:t>
      </w:r>
      <w:r>
        <w:t xml:space="preserve"> </w:t>
      </w:r>
      <w:r>
        <w:t xml:space="preserve">university</w:t>
      </w:r>
      <w:r>
        <w:t xml:space="preserve"> </w:t>
      </w:r>
      <w:hyperlink r:id="rId20">
        <w:r>
          <w:rPr>
            <w:rStyle w:val="Hyperlink"/>
          </w:rPr>
          <w:t xml:space="preserve">RDM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It has been announced to be deprecated and VU/IT</w:t>
            </w:r>
            <w:r>
              <w:t xml:space="preserve"> </w:t>
            </w:r>
            <w:r>
              <w:t xml:space="preserve">will stop the contract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Note that SURFdrive will be phased out at the VU before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contacts Shuai Wang (shuai.wang@vu.nl) and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2026-01-23T06:18:37Z</dcterms:created>
  <dcterms:modified xsi:type="dcterms:W3CDTF">2026-01-23T06:18:37Z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v0.5, February 11, 2025</vt:lpwstr>
  </property>
  <property fmtid="{D5CDD505-2E9C-101B-9397-08002B2CF9AE}" pid="13" name="toc-title">
    <vt:lpwstr>Table of contents</vt:lpwstr>
  </property>
</Properties>
</file>