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v0.5,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2020</w:t>
      </w:r>
      <w:r>
        <w:t xml:space="preserve"> </w:t>
      </w:r>
      <w:r>
        <w:t xml:space="preserve">university</w:t>
      </w:r>
      <w:r>
        <w:t xml:space="preserve"> </w:t>
      </w:r>
      <w:hyperlink r:id="rId20">
        <w:r>
          <w:rPr>
            <w:rStyle w:val="Hyperlink"/>
          </w:rPr>
          <w:t xml:space="preserve">RDM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21">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22">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23"/>
    <w:bookmarkStart w:id="24"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24"/>
    <w:bookmarkStart w:id="29"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25"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25"/>
    <w:bookmarkStart w:id="26"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26"/>
    <w:bookmarkStart w:id="27"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It has been announced to be deprecated and VU/IT</w:t>
            </w:r>
            <w:r>
              <w:t xml:space="preserve"> </w:t>
            </w:r>
            <w:r>
              <w:t xml:space="preserve">will stop the contract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27"/>
    <w:bookmarkStart w:id="28"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w:t>
      </w:r>
      <w:r>
        <w:t xml:space="preserve"> </w:t>
      </w:r>
      <w:r>
        <w:t xml:space="preserve">“legacy”</w:t>
      </w:r>
      <w:r>
        <w:t xml:space="preserve"> </w:t>
      </w:r>
      <w:r>
        <w:t xml:space="preserve">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w:t>
            </w:r>
            <w:r>
              <w:t xml:space="preserve"> </w:t>
            </w:r>
            <w:r>
              <w:t xml:space="preserve">“H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28"/>
    <w:bookmarkEnd w:id="29"/>
    <w:bookmarkStart w:id="40"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21">
        <w:r>
          <w:rPr>
            <w:rStyle w:val="Hyperlink"/>
          </w:rPr>
          <w:t xml:space="preserve">Data Storage Finder</w:t>
        </w:r>
      </w:hyperlink>
      <w:r>
        <w:t xml:space="preserve"> </w:t>
      </w:r>
      <w:r>
        <w:t xml:space="preserve">which is provided by the RDM support department of the VU Library; they are included here for easy reference.</w:t>
      </w:r>
    </w:p>
    <w:bookmarkStart w:id="30"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30"/>
    <w:bookmarkStart w:id="31"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31"/>
    <w:bookmarkStart w:id="32"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32"/>
    <w:bookmarkStart w:id="33"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33"/>
    <w:bookmarkStart w:id="34"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4"/>
    <w:bookmarkStart w:id="35"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35"/>
    <w:bookmarkStart w:id="36"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36"/>
    <w:bookmarkStart w:id="37"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7"/>
    <w:bookmarkStart w:id="38"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Note that SURFdrive will be phased out at the VU before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38"/>
    <w:bookmarkStart w:id="39"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contacts Shuai Wang (shuai.wang@vu.nl) and Kees Verstoep (c.verstoep@vu.nl) to explore the options.</w:t>
      </w:r>
    </w:p>
    <w:p>
      <w:pPr>
        <w:pStyle w:val="BodyText"/>
      </w:pPr>
      <w:r>
        <w:t xml:space="preserve">For example, in our department there are currently two additional group-specific data storage options: The CI</w:t>
      </w:r>
      <w:r>
        <w:t xml:space="preserve"> </w:t>
      </w:r>
      <w:r>
        <w:t xml:space="preserve">“rippers”</w:t>
      </w:r>
      <w:r>
        <w:t xml:space="preserve"> </w:t>
      </w:r>
      <w:r>
        <w:t xml:space="preserve">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2025-12-04T06:16:54Z</dcterms:created>
  <dcterms:modified xsi:type="dcterms:W3CDTF">2025-12-04T06:16:54Z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v0.5, February 11, 2025</vt:lpwstr>
  </property>
  <property fmtid="{D5CDD505-2E9C-101B-9397-08002B2CF9AE}" pid="13" name="toc-title">
    <vt:lpwstr>Table of contents</vt:lpwstr>
  </property>
</Properties>
</file>