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F458" w14:textId="77777777" w:rsidR="00C71BDD" w:rsidRDefault="00000000">
      <w:pPr>
        <w:spacing w:after="80"/>
      </w:pPr>
      <w:r>
        <w:rPr>
          <w:b/>
          <w:bCs/>
        </w:rPr>
        <w:t xml:space="preserve">To: </w:t>
      </w:r>
      <w:r>
        <w:t>Matt Jakovljevic, NJ Lawyers</w:t>
      </w:r>
    </w:p>
    <w:p w14:paraId="0E7BF459" w14:textId="77777777" w:rsidR="00C71BDD" w:rsidRDefault="00000000">
      <w:pPr>
        <w:spacing w:after="80"/>
      </w:pPr>
      <w:r>
        <w:rPr>
          <w:b/>
          <w:bCs/>
        </w:rPr>
        <w:t xml:space="preserve">Subject: </w:t>
      </w:r>
      <w:r>
        <w:t>New matter — co-ownership and second dwelling, 40 Rogers Drive, Kyneton</w:t>
      </w:r>
    </w:p>
    <w:p w14:paraId="0E7BF45A" w14:textId="77777777" w:rsidR="00C71BDD" w:rsidRDefault="00000000">
      <w:pPr>
        <w:spacing w:after="320"/>
      </w:pPr>
      <w:r>
        <w:rPr>
          <w:b/>
          <w:bCs/>
        </w:rPr>
        <w:t xml:space="preserve">Attachments: </w:t>
      </w:r>
      <w:r>
        <w:t>Certificate of title; Planning property report</w:t>
      </w:r>
    </w:p>
    <w:p w14:paraId="0E7BF45B" w14:textId="77777777" w:rsidR="00C71BDD" w:rsidRDefault="00000000">
      <w:pPr>
        <w:spacing w:after="200"/>
      </w:pPr>
      <w:r>
        <w:t>Dear Matt,</w:t>
      </w:r>
    </w:p>
    <w:p w14:paraId="0E7BF45C" w14:textId="77777777" w:rsidR="00C71BDD" w:rsidRDefault="00000000">
      <w:pPr>
        <w:spacing w:after="200"/>
      </w:pPr>
      <w:r>
        <w:t>Lindsay mentioned she’d spoken with you briefly by phone — we’d like to formally engage you on a property matter and book a call to brief you in the next week or so.</w:t>
      </w:r>
    </w:p>
    <w:p w14:paraId="0E7BF45D" w14:textId="77777777" w:rsidR="00C71BDD" w:rsidRDefault="00000000">
      <w:pPr>
        <w:spacing w:after="200"/>
      </w:pPr>
      <w:r>
        <w:t>Since Lindsay spoke with you, a few things have progressed. Tony has reviewed the proposed structure in detail and remains comfortable proceeding to his own solicitor. I spoke with NAB earlier this week — initial response was positive, no structural concerns raised, and the matter has been sent to credit for a formal view. We are also in discussions with Metricon on build pricing. I expect to have both a NAB credit response and a builder figure within the next week or two, which I’ll have available by the time we meet.</w:t>
      </w:r>
    </w:p>
    <w:p w14:paraId="0E7BF45E" w14:textId="77777777" w:rsidR="00C71BDD" w:rsidRDefault="00000000">
      <w:pPr>
        <w:spacing w:after="200"/>
      </w:pPr>
      <w:r>
        <w:t>I am providing a detailed background summary below so you can prepare substantive advice ahead of our first meeting.</w:t>
      </w:r>
    </w:p>
    <w:p w14:paraId="0E7BF45F" w14:textId="77777777" w:rsidR="00C71BDD" w:rsidRDefault="00000000">
      <w:pPr>
        <w:spacing w:before="240" w:after="120"/>
      </w:pPr>
      <w:r>
        <w:rPr>
          <w:b/>
          <w:bCs/>
        </w:rPr>
        <w:t>PROPERTY</w:t>
      </w:r>
    </w:p>
    <w:p w14:paraId="0E7BF460" w14:textId="77777777" w:rsidR="00C71BDD" w:rsidRDefault="00000000">
      <w:pPr>
        <w:spacing w:after="120"/>
      </w:pPr>
      <w:r>
        <w:t>40 Rogers Drive, Kyneton (approx. 2.39ha, RLZ5, ESO4, Bushfire Prone Area).</w:t>
      </w:r>
    </w:p>
    <w:p w14:paraId="0E7BF461" w14:textId="77777777" w:rsidR="00C71BDD" w:rsidRDefault="00000000">
      <w:pPr>
        <w:spacing w:after="120"/>
      </w:pPr>
      <w:r>
        <w:t>Current owner: My uncle, Anthony Mifsud (age 70), unmarried, no children.</w:t>
      </w:r>
    </w:p>
    <w:p w14:paraId="0E7BF462" w14:textId="77777777" w:rsidR="00C71BDD" w:rsidRDefault="00000000">
      <w:pPr>
        <w:spacing w:after="120"/>
      </w:pPr>
      <w:r>
        <w:t>Existing improvements: 2-bedroom dwelling and shed/workshop.</w:t>
      </w:r>
    </w:p>
    <w:p w14:paraId="0E7BF463" w14:textId="77777777" w:rsidR="00C71BDD" w:rsidRDefault="00000000">
      <w:pPr>
        <w:spacing w:after="200"/>
      </w:pPr>
      <w:r>
        <w:t>Title: Freehold, no current mortgage. ANZ Bank has been holding the certificate of title but has confirmed it will release it without issue.</w:t>
      </w:r>
    </w:p>
    <w:p w14:paraId="0E7BF464" w14:textId="77777777" w:rsidR="00C71BDD" w:rsidRDefault="00000000">
      <w:pPr>
        <w:spacing w:before="240" w:after="120"/>
      </w:pPr>
      <w:r>
        <w:rPr>
          <w:b/>
          <w:bCs/>
        </w:rPr>
        <w:t>CONTEXT</w:t>
      </w:r>
    </w:p>
    <w:p w14:paraId="0E7BF465" w14:textId="77777777" w:rsidR="00C71BDD" w:rsidRDefault="00000000">
      <w:pPr>
        <w:spacing w:after="200"/>
      </w:pPr>
      <w:r>
        <w:t>My uncle is concerned that maintaining the property will become more difficult over time. He would prefer not to sell and values the idea of family nearby while remaining independent in his existing home. My wife Lindsay (38) and I (45) have four young children and are looking for acreage locally.</w:t>
      </w:r>
    </w:p>
    <w:p w14:paraId="0E7BF466" w14:textId="77777777" w:rsidR="00C71BDD" w:rsidRDefault="00000000">
      <w:pPr>
        <w:spacing w:after="200"/>
      </w:pPr>
      <w:r>
        <w:t>We are exploring purchasing a defined parcel of the property — approximately 30% of the land area, being a parcel suitable for a second dwelling — and constructing a new family home on that parcel. Formal subdivision is unlikely under current planning controls (RLZ5/ESO4), but is a long-term aspiration if planning permits in future.</w:t>
      </w:r>
    </w:p>
    <w:p w14:paraId="0E7BF467" w14:textId="77777777" w:rsidR="00C71BDD" w:rsidRDefault="00000000">
      <w:pPr>
        <w:spacing w:before="240" w:after="120"/>
      </w:pPr>
      <w:r>
        <w:rPr>
          <w:b/>
          <w:bCs/>
        </w:rPr>
        <w:t>FINANCIAL POSITION</w:t>
      </w:r>
    </w:p>
    <w:p w14:paraId="0E7BF468" w14:textId="77777777" w:rsidR="00C71BDD" w:rsidRDefault="00000000">
      <w:pPr>
        <w:spacing w:after="200"/>
      </w:pPr>
      <w:r>
        <w:t>Our current financial position is summarised below to assist you in advising on structure and financing feasibility.</w:t>
      </w:r>
    </w:p>
    <w:p w14:paraId="0E7BF469" w14:textId="77777777" w:rsidR="00C71BDD" w:rsidRDefault="00000000">
      <w:pPr>
        <w:spacing w:after="120"/>
      </w:pPr>
      <w:r>
        <w:t>Sunbury property: estimated value ~$1,000,000, outstanding mortgage ~$644,000, net equity ~$356,000. We intend to retain the Sunbury property through the construction period and sell it after moving into the new build — avoiding any bridging accommodation gap for our family. NAB bridging finance will be used to carry both properties during the construction period, with Sunbury discharged on sale following completion.</w:t>
      </w:r>
    </w:p>
    <w:p w14:paraId="0E7BF46A" w14:textId="77777777" w:rsidR="00C71BDD" w:rsidRDefault="00000000">
      <w:pPr>
        <w:spacing w:after="120"/>
      </w:pPr>
      <w:r>
        <w:t>Settlement funds: we will have approximately $100,000 available in cash for settlement, partially sourced from a family gift.</w:t>
      </w:r>
    </w:p>
    <w:p w14:paraId="0E7BF46B" w14:textId="77777777" w:rsidR="00C71BDD" w:rsidRDefault="00000000">
      <w:pPr>
        <w:spacing w:after="120"/>
      </w:pPr>
      <w:r>
        <w:t>Other assets: ~$50,000 investment portfolio (outside superannuation); combined superannuation of approximately $700,000 (noted as background only — not deployable capital for this transaction).</w:t>
      </w:r>
    </w:p>
    <w:p w14:paraId="0E7BF46C" w14:textId="77777777" w:rsidR="00C71BDD" w:rsidRDefault="00000000">
      <w:pPr>
        <w:spacing w:after="120"/>
      </w:pPr>
      <w:r>
        <w:lastRenderedPageBreak/>
        <w:t>Other liabilities: nil beyond credit cards paid in full monthly.</w:t>
      </w:r>
    </w:p>
    <w:p w14:paraId="0E7BF46D" w14:textId="77777777" w:rsidR="00C71BDD" w:rsidRDefault="00000000">
      <w:pPr>
        <w:spacing w:after="200"/>
      </w:pPr>
      <w:r>
        <w:t>I am a long-standing NAB employee (20+ years) and intend to approach NAB for the construction loan and bridging finance. I would like your advice on the optimal sequencing of the Rogers Drive settlement, construction drawdown, and Sunbury sale — and whether the bridging position has any implications for the legal structure or timing of the transfer.</w:t>
      </w:r>
    </w:p>
    <w:p w14:paraId="0E7BF46E" w14:textId="77777777" w:rsidR="00C71BDD" w:rsidRDefault="00000000">
      <w:pPr>
        <w:spacing w:before="240" w:after="120"/>
      </w:pPr>
      <w:r>
        <w:rPr>
          <w:b/>
          <w:bCs/>
        </w:rPr>
        <w:t>PROPOSED TRANSACTION STRUCTURE</w:t>
      </w:r>
    </w:p>
    <w:p w14:paraId="0E7BF46F" w14:textId="77777777" w:rsidR="00C71BDD" w:rsidRDefault="00000000">
      <w:pPr>
        <w:spacing w:after="120"/>
      </w:pPr>
      <w:r>
        <w:t>Property estimated value: approx. $1,000,000 (land ~$750k, improvements ~$250k). Independent valuation to be obtained before anything is formalised.</w:t>
      </w:r>
    </w:p>
    <w:p w14:paraId="0E7BF470" w14:textId="77777777" w:rsidR="00C71BDD" w:rsidRDefault="00000000">
      <w:pPr>
        <w:spacing w:after="120"/>
      </w:pPr>
      <w:r>
        <w:t>Proposed acquisition: approximately 25–30% interest for ~$250,000, subject to valuation. Staged payment: $100,000 at settlement, then $50,000 per year for three years, with the outstanding balance secured by a registered vendor mortgage (</w:t>
      </w:r>
      <w:proofErr w:type="gramStart"/>
      <w:r>
        <w:t>second-ranking</w:t>
      </w:r>
      <w:proofErr w:type="gramEnd"/>
      <w:r>
        <w:t xml:space="preserve"> behind NAB’s construction mortgage).</w:t>
      </w:r>
    </w:p>
    <w:p w14:paraId="0E7BF471" w14:textId="77777777" w:rsidR="00C71BDD" w:rsidRDefault="00000000">
      <w:pPr>
        <w:spacing w:after="120"/>
      </w:pPr>
      <w:r>
        <w:t>Build cost: up to ~$1,000,000, funded through the Sunbury sale proceeds and a NAB construction loan.</w:t>
      </w:r>
    </w:p>
    <w:p w14:paraId="0E7BF472" w14:textId="77777777" w:rsidR="00C71BDD" w:rsidRDefault="00000000">
      <w:pPr>
        <w:spacing w:after="200"/>
      </w:pPr>
      <w:r>
        <w:t>Important context on the economic structure: while the initial title transfer reflects a 25–30% interest, the intended final economic split once the build is complete will be approximately 62.5% / 37.5% in my favour — calculated by reference to total capital contributions (~$1,250,000 by me vs ~$750,000 retained interest by my uncle). I would like your advice on how the title percentage should be set at the time of transfer to best reflect this, and the stamp duty and CGT implications of the different approaches.</w:t>
      </w:r>
    </w:p>
    <w:p w14:paraId="0E7BF473" w14:textId="77777777" w:rsidR="00C71BDD" w:rsidRDefault="00000000">
      <w:pPr>
        <w:spacing w:before="240" w:after="120"/>
      </w:pPr>
      <w:r>
        <w:rPr>
          <w:b/>
          <w:bCs/>
        </w:rPr>
        <w:t>URGENT PRELIMINARY MATTER — EXECUTOR CONFLICT</w:t>
      </w:r>
    </w:p>
    <w:p w14:paraId="0E7BF474" w14:textId="77777777" w:rsidR="00C71BDD" w:rsidRDefault="00000000">
      <w:pPr>
        <w:spacing w:after="200"/>
      </w:pPr>
      <w:r>
        <w:t>I am currently named as executor of my uncle’s will. I understand I must step down from this role before any agreement is signed, given the direct conflict between my role as executor and my role as a beneficiary of a transaction with my uncle. I would like your specific advice on the timing and mechanics of this, and your recommendation on who should replace me. I consider this a prerequisite to proceeding.</w:t>
      </w:r>
    </w:p>
    <w:p w14:paraId="0E7BF475" w14:textId="77777777" w:rsidR="00C71BDD" w:rsidRDefault="00000000">
      <w:pPr>
        <w:spacing w:before="240" w:after="120"/>
      </w:pPr>
      <w:r>
        <w:rPr>
          <w:b/>
          <w:bCs/>
        </w:rPr>
        <w:t>KEY ISSUES REQUIRING ADVICE</w:t>
      </w:r>
    </w:p>
    <w:p w14:paraId="0E7BF476" w14:textId="77777777" w:rsidR="00C71BDD" w:rsidRDefault="00000000">
      <w:pPr>
        <w:spacing w:after="120"/>
      </w:pPr>
      <w:r>
        <w:t>1.</w:t>
      </w:r>
      <w:r>
        <w:tab/>
        <w:t>Most appropriate ownership structure (tenants in common) and how to set the title percentage to reflect the anticipated final economic contribution split.</w:t>
      </w:r>
    </w:p>
    <w:p w14:paraId="0E7BF477" w14:textId="77777777" w:rsidR="00C71BDD" w:rsidRDefault="00000000">
      <w:pPr>
        <w:spacing w:after="120"/>
      </w:pPr>
      <w:r>
        <w:t>2.</w:t>
      </w:r>
      <w:r>
        <w:tab/>
        <w:t>Protection of our ~$1,000,000 capital investment in the new dwelling — ensuring it is recoverable first on any whole-of-property sale.</w:t>
      </w:r>
    </w:p>
    <w:p w14:paraId="0E7BF478" w14:textId="77777777" w:rsidR="00C71BDD" w:rsidRDefault="00000000">
      <w:pPr>
        <w:spacing w:after="120"/>
      </w:pPr>
      <w:r>
        <w:t>3.</w:t>
      </w:r>
      <w:r>
        <w:tab/>
        <w:t>Staged payment mechanics and vendor mortgage structure, including NAB’s likely requirements for a first mortgage alongside Tony’s second-ranking vendor mortgage.</w:t>
      </w:r>
    </w:p>
    <w:p w14:paraId="0E7BF479" w14:textId="77777777" w:rsidR="00C71BDD" w:rsidRDefault="00000000">
      <w:pPr>
        <w:spacing w:after="120"/>
      </w:pPr>
      <w:r>
        <w:t>4.</w:t>
      </w:r>
      <w:r>
        <w:tab/>
        <w:t>Sequencing of Rogers Drive settlement, construction loan, NAB bridging finance, and Sunbury sale — and any implications for the legal structure.</w:t>
      </w:r>
    </w:p>
    <w:p w14:paraId="0E7BF47A" w14:textId="77777777" w:rsidR="00C71BDD" w:rsidRDefault="00000000">
      <w:pPr>
        <w:spacing w:after="120"/>
      </w:pPr>
      <w:r>
        <w:t>5.</w:t>
      </w:r>
      <w:r>
        <w:tab/>
        <w:t>Estate planning alignment — my uncle has approximately 11 siblings (some now deceased) as beneficiaries and his will requires updating. I want both the co-ownership agreement and Tony’s updated will reviewed for consistency.</w:t>
      </w:r>
    </w:p>
    <w:p w14:paraId="0E7BF47B" w14:textId="77777777" w:rsidR="00C71BDD" w:rsidRDefault="00000000">
      <w:pPr>
        <w:spacing w:after="120"/>
      </w:pPr>
      <w:r>
        <w:t>6.</w:t>
      </w:r>
      <w:r>
        <w:tab/>
        <w:t>Right of first refusal on Tony’s death, with a 24-month election window to pursue one of: (a) subdivision approval, (b) buyout of Tony’s retained share, or (c) orderly whole-of-property sale with capital recovery. I want all three scenarios documented in the agreement.</w:t>
      </w:r>
    </w:p>
    <w:p w14:paraId="0E7BF47C" w14:textId="77777777" w:rsidR="00C71BDD" w:rsidRDefault="00000000">
      <w:pPr>
        <w:spacing w:after="120"/>
      </w:pPr>
      <w:r>
        <w:t>7.</w:t>
      </w:r>
      <w:r>
        <w:tab/>
        <w:t>Whether an option agreement is advisable before the planning application is lodged, to protect pre-planning expenditure.</w:t>
      </w:r>
    </w:p>
    <w:p w14:paraId="0E7BF47D" w14:textId="77777777" w:rsidR="00C71BDD" w:rsidRDefault="00000000">
      <w:pPr>
        <w:spacing w:after="120"/>
      </w:pPr>
      <w:r>
        <w:t>8.</w:t>
      </w:r>
      <w:r>
        <w:tab/>
        <w:t xml:space="preserve">Tony’s independent legal advice — I have committed to funding Tony’s reasonable legal costs with a solicitor of his own choosing. I would like your advice on what Tony’s </w:t>
      </w:r>
      <w:r>
        <w:lastRenderedPageBreak/>
        <w:t>solicitor should be asked to confirm in writing to protect the defensibility of this arrangement against any future challenge by Tony’s estate.</w:t>
      </w:r>
    </w:p>
    <w:p w14:paraId="0E7BF47E" w14:textId="77777777" w:rsidR="00C71BDD" w:rsidRDefault="00000000">
      <w:pPr>
        <w:spacing w:after="120"/>
      </w:pPr>
      <w:r>
        <w:t>9.</w:t>
      </w:r>
      <w:r>
        <w:tab/>
        <w:t>Stamp duty and CGT implications for both parties, including the timing and structure of the transfer and the treatment of the build contribution.</w:t>
      </w:r>
    </w:p>
    <w:p w14:paraId="0E7BF47F" w14:textId="77777777" w:rsidR="00C71BDD" w:rsidRDefault="00000000">
      <w:pPr>
        <w:spacing w:after="120"/>
      </w:pPr>
      <w:r>
        <w:t>10.</w:t>
      </w:r>
      <w:r>
        <w:tab/>
        <w:t>Mechanisms for future rezoning or subdivision — if ever permitted, each party should take their defined parcel as a fully independent separate title.</w:t>
      </w:r>
    </w:p>
    <w:p w14:paraId="0E7BF480" w14:textId="77777777" w:rsidR="00C71BDD" w:rsidRDefault="00000000">
      <w:pPr>
        <w:spacing w:after="120"/>
      </w:pPr>
      <w:r>
        <w:t>11.</w:t>
      </w:r>
      <w:r>
        <w:tab/>
        <w:t>Protections in the event of death, insolvency, divorce, or lender enforcement for either party.</w:t>
      </w:r>
    </w:p>
    <w:p w14:paraId="0E7BF481" w14:textId="77777777" w:rsidR="00C71BDD" w:rsidRDefault="00000000">
      <w:pPr>
        <w:spacing w:after="120"/>
      </w:pPr>
      <w:r>
        <w:t>12.</w:t>
      </w:r>
      <w:r>
        <w:tab/>
        <w:t>Whether Tony should have an enduring power of attorney in place, and if so whether this affects the timing or structure of the agreement.</w:t>
      </w:r>
    </w:p>
    <w:p w14:paraId="0E7BF482" w14:textId="77777777" w:rsidR="00C71BDD" w:rsidRDefault="00000000">
      <w:pPr>
        <w:spacing w:before="240" w:after="120"/>
      </w:pPr>
      <w:r>
        <w:rPr>
          <w:b/>
          <w:bCs/>
        </w:rPr>
        <w:t>DOCUMENT FOR DISCUSSION AT MEETING</w:t>
      </w:r>
    </w:p>
    <w:p w14:paraId="0E7BF483" w14:textId="77777777" w:rsidR="00C71BDD" w:rsidRDefault="00000000">
      <w:pPr>
        <w:spacing w:after="200"/>
      </w:pPr>
      <w:r>
        <w:t>I have prepared a detailed discussion paper covering the proposed structure, co-ownership terms, staged process, and exit mechanisms. I will bring this to the meeting rather than circulate it in advance, as I am seeking your independent assessment of whether the overall approach is sound before treating anything as settled.</w:t>
      </w:r>
    </w:p>
    <w:p w14:paraId="0E7BF484" w14:textId="77777777" w:rsidR="00C71BDD" w:rsidRDefault="00000000">
      <w:pPr>
        <w:spacing w:after="200"/>
      </w:pPr>
      <w:r>
        <w:t>Please let us know what further information would assist prior to meeting, and whether you would like the title search and planning report sent ahead of time.</w:t>
      </w:r>
    </w:p>
    <w:p w14:paraId="0E7BF485" w14:textId="77777777" w:rsidR="00C71BDD" w:rsidRDefault="00000000">
      <w:pPr>
        <w:spacing w:after="120"/>
      </w:pPr>
      <w:r>
        <w:t>Kind regards,</w:t>
      </w:r>
    </w:p>
    <w:p w14:paraId="0E7BF486" w14:textId="77777777" w:rsidR="00C71BDD" w:rsidRDefault="00000000">
      <w:pPr>
        <w:spacing w:after="80"/>
      </w:pPr>
      <w:r>
        <w:t>Ryan Mifsud</w:t>
      </w:r>
    </w:p>
    <w:p w14:paraId="0E7BF487" w14:textId="77777777" w:rsidR="00C71BDD" w:rsidRDefault="00000000">
      <w:pPr>
        <w:spacing w:after="80"/>
      </w:pPr>
      <w:r>
        <w:rPr>
          <w:i/>
          <w:iCs/>
        </w:rPr>
        <w:t>[phone number]</w:t>
      </w:r>
    </w:p>
    <w:sectPr w:rsidR="00C71B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93C9B"/>
    <w:multiLevelType w:val="hybridMultilevel"/>
    <w:tmpl w:val="00421A80"/>
    <w:lvl w:ilvl="0" w:tplc="0A8035E8">
      <w:start w:val="1"/>
      <w:numFmt w:val="bullet"/>
      <w:lvlText w:val="●"/>
      <w:lvlJc w:val="left"/>
      <w:pPr>
        <w:ind w:left="720" w:hanging="360"/>
      </w:pPr>
    </w:lvl>
    <w:lvl w:ilvl="1" w:tplc="53C6503A">
      <w:start w:val="1"/>
      <w:numFmt w:val="bullet"/>
      <w:lvlText w:val="○"/>
      <w:lvlJc w:val="left"/>
      <w:pPr>
        <w:ind w:left="1440" w:hanging="360"/>
      </w:pPr>
    </w:lvl>
    <w:lvl w:ilvl="2" w:tplc="5986BEDA">
      <w:start w:val="1"/>
      <w:numFmt w:val="bullet"/>
      <w:lvlText w:val="■"/>
      <w:lvlJc w:val="left"/>
      <w:pPr>
        <w:ind w:left="2160" w:hanging="360"/>
      </w:pPr>
    </w:lvl>
    <w:lvl w:ilvl="3" w:tplc="32C6294E">
      <w:start w:val="1"/>
      <w:numFmt w:val="bullet"/>
      <w:lvlText w:val="●"/>
      <w:lvlJc w:val="left"/>
      <w:pPr>
        <w:ind w:left="2880" w:hanging="360"/>
      </w:pPr>
    </w:lvl>
    <w:lvl w:ilvl="4" w:tplc="F0EAC128">
      <w:start w:val="1"/>
      <w:numFmt w:val="bullet"/>
      <w:lvlText w:val="○"/>
      <w:lvlJc w:val="left"/>
      <w:pPr>
        <w:ind w:left="3600" w:hanging="360"/>
      </w:pPr>
    </w:lvl>
    <w:lvl w:ilvl="5" w:tplc="C298DDFE">
      <w:start w:val="1"/>
      <w:numFmt w:val="bullet"/>
      <w:lvlText w:val="■"/>
      <w:lvlJc w:val="left"/>
      <w:pPr>
        <w:ind w:left="4320" w:hanging="360"/>
      </w:pPr>
    </w:lvl>
    <w:lvl w:ilvl="6" w:tplc="D368E058">
      <w:start w:val="1"/>
      <w:numFmt w:val="bullet"/>
      <w:lvlText w:val="●"/>
      <w:lvlJc w:val="left"/>
      <w:pPr>
        <w:ind w:left="5040" w:hanging="360"/>
      </w:pPr>
    </w:lvl>
    <w:lvl w:ilvl="7" w:tplc="4738A1D4">
      <w:start w:val="1"/>
      <w:numFmt w:val="bullet"/>
      <w:lvlText w:val="●"/>
      <w:lvlJc w:val="left"/>
      <w:pPr>
        <w:ind w:left="5760" w:hanging="360"/>
      </w:pPr>
    </w:lvl>
    <w:lvl w:ilvl="8" w:tplc="E7763AA0">
      <w:start w:val="1"/>
      <w:numFmt w:val="bullet"/>
      <w:lvlText w:val="●"/>
      <w:lvlJc w:val="left"/>
      <w:pPr>
        <w:ind w:left="6480" w:hanging="360"/>
      </w:pPr>
    </w:lvl>
  </w:abstractNum>
  <w:num w:numId="1" w16cid:durableId="1007099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BDD"/>
    <w:rsid w:val="006A5024"/>
    <w:rsid w:val="007429E1"/>
    <w:rsid w:val="00C71B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F458"/>
  <w15:docId w15:val="{F81C8A04-33C2-4305-B3CF-A5274F02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1154</Words>
  <Characters>6356</Characters>
  <Application>Microsoft Office Word</Application>
  <DocSecurity>0</DocSecurity>
  <Lines>107</Lines>
  <Paragraphs>48</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Mifsud</cp:lastModifiedBy>
  <cp:revision>2</cp:revision>
  <dcterms:created xsi:type="dcterms:W3CDTF">2026-03-03T20:36:00Z</dcterms:created>
  <dcterms:modified xsi:type="dcterms:W3CDTF">2026-03-03T20:37:00Z</dcterms:modified>
</cp:coreProperties>
</file>