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pPr>
    </w:p>
    <w:p>
      <w:pPr>
        <w:jc w:val="center"/>
      </w:pPr>
      <w:r>
        <w:rPr>
          <w:color w:val="555555"/>
          <w:sz w:val="28"/>
          <w:szCs w:val="28"/>
        </w:rPr>
        <w:t xml:space="preserve">PROJET UF B2 — INFRA &amp; DEV</w:t>
      </w:r>
    </w:p>
    <w:p>
      <w:pPr>
        <w:spacing w:before="300"/>
        <w:jc w:val="center"/>
      </w:pPr>
      <w:r>
        <w:rPr>
          <w:b/>
          <w:bCs/>
          <w:color w:val="1F3864"/>
          <w:sz w:val="56"/>
          <w:szCs w:val="56"/>
        </w:rPr>
        <w:t xml:space="preserve">Documentation technique</w:t>
      </w:r>
    </w:p>
    <w:p>
      <w:pPr>
        <w:jc w:val="center"/>
      </w:pPr>
      <w:r>
        <w:rPr>
          <w:b/>
          <w:bCs/>
          <w:color w:val="2E5496"/>
          <w:sz w:val="40"/>
          <w:szCs w:val="40"/>
        </w:rPr>
        <w:t xml:space="preserve">Infrastructure réseau Ymmo</w:t>
      </w:r>
    </w:p>
    <w:p>
      <w:pPr>
        <w:spacing w:before="400"/>
        <w:jc w:val="center"/>
      </w:pPr>
      <w:r>
        <w:rPr>
          <w:i/>
          <w:iCs/>
          <w:sz w:val="24"/>
          <w:szCs w:val="24"/>
        </w:rPr>
        <w:t xml:space="preserve">Architecture sécurisée et scalable — Siège Aix-en-Provence &amp; 12 agences</w:t>
      </w:r>
    </w:p>
    <w:p>
      <w:pPr>
        <w:spacing w:before="2400"/>
        <w:jc w:val="center"/>
      </w:pPr>
      <w:r>
        <w:rPr>
          <w:sz w:val="24"/>
          <w:szCs w:val="24"/>
        </w:rPr>
        <w:t xml:space="preserve">[Noms des membres du groupe]</w:t>
      </w:r>
    </w:p>
    <w:p>
      <w:pPr>
        <w:jc w:val="center"/>
      </w:pPr>
      <w:r>
        <w:rPr>
          <w:color w:val="555555"/>
          <w:sz w:val="22"/>
          <w:szCs w:val="22"/>
        </w:rPr>
        <w:t xml:space="preserve">Ynov Informatique — Bachelor 2 — 2025/2026</w:t>
      </w:r>
    </w:p>
    <w:p>
      <w:r>
        <w:br w:type="page"/>
      </w:r>
    </w:p>
    <w:p>
      <w:pPr>
        <w:pStyle w:val="Heading1"/>
      </w:pPr>
      <w:r>
        <w:t xml:space="preserve">Sommaire</w:t>
      </w:r>
    </w:p>
    <w:sdt>
      <w:sdtPr>
        <w:alias w:val="Sommaire"/>
      </w:sdtPr>
      <w:sdtContent>
        <w:p>
          <w:r>
            <w:fldChar w:fldCharType="begin" w:dirty="true"/>
            <w:instrText xml:space="preserve">TOC \h \o "1-2"</w:instrText>
            <w:fldChar w:fldCharType="separate"/>
          </w:r>
        </w:p>
        <w:p>
          <w:r>
            <w:fldChar w:fldCharType="end"/>
          </w:r>
        </w:p>
      </w:sdtContent>
    </w:sdt>
    <w:p>
      <w:r>
        <w:br w:type="page"/>
      </w:r>
    </w:p>
    <w:p>
      <w:pPr>
        <w:pStyle w:val="Heading1"/>
      </w:pPr>
      <w:r>
        <w:t xml:space="preserve">1. Contexte et objectifs</w:t>
      </w:r>
    </w:p>
    <w:p>
      <w:pPr>
        <w:spacing w:after="120"/>
      </w:pPr>
      <w:r>
        <w:t xml:space="preserve">Ymmo est un groupe immobilier français dont le siège est situé à Aix-en-Provence, avec un réseau de 12 agences réparties sur le territoire national. L'entreprise est spécialisée dans la vente et l'achat de biens immobiliers résidentiels et professionnels.</w:t>
      </w:r>
    </w:p>
    <w:p>
      <w:pPr>
        <w:spacing w:after="120"/>
      </w:pPr>
      <w:r>
        <w:t xml:space="preserve">Ce document décrit l'infrastructure réseau conçue pour relier de manière sécurisée le siège et les 12 agences, héberger la plateforme web métier, centraliser l'authentification et la gestion des droits, et garantir la continuité de service (sauvegardes, supervision).</w:t>
      </w:r>
    </w:p>
    <w:p>
      <w:pPr>
        <w:pStyle w:val="Heading2"/>
      </w:pPr>
      <w:r>
        <w:t xml:space="preserve">1.1 Périmètre</w:t>
      </w:r>
    </w:p>
    <w:p>
      <w:pPr>
        <w:pStyle w:val="ListParagraph"/>
        <w:numPr>
          <w:ilvl w:val="0"/>
          <w:numId w:val="2"/>
        </w:numPr>
        <w:spacing w:after="60"/>
      </w:pPr>
      <w:r>
        <w:t xml:space="preserve">Siège : ~30 postes répartis dans 5 pôles (Direction, Commercial, Communication &amp; Marketing, Administratif-RH-Juridique, IT &amp; Support), 2 serveurs, 1 imprimante.</w:t>
      </w:r>
    </w:p>
    <w:p>
      <w:pPr>
        <w:pStyle w:val="ListParagraph"/>
        <w:numPr>
          <w:ilvl w:val="0"/>
          <w:numId w:val="2"/>
        </w:numPr>
        <w:spacing w:after="60"/>
      </w:pPr>
      <w:r>
        <w:t xml:space="preserve">12 agences : ~5 postes commerciaux et 1 imprimante chacune, reliées au siège par VPN IPsec site-à-site.</w:t>
      </w:r>
    </w:p>
    <w:p>
      <w:pPr>
        <w:pStyle w:val="ListParagraph"/>
        <w:numPr>
          <w:ilvl w:val="0"/>
          <w:numId w:val="2"/>
        </w:numPr>
        <w:spacing w:after="60"/>
      </w:pPr>
      <w:r>
        <w:t xml:space="preserve">Maquette de validation : 4 machines virtuelles sous VMware Workstation (détail au chapitre 9).</w:t>
      </w:r>
    </w:p>
    <w:p>
      <w:pPr>
        <w:pStyle w:val="Heading2"/>
      </w:pPr>
      <w:r>
        <w:t xml:space="preserve">1.2 Choix d'architecture</w:t>
      </w:r>
    </w:p>
    <w:p>
      <w:pPr>
        <w:pStyle w:val="ListParagraph"/>
        <w:numPr>
          <w:ilvl w:val="0"/>
          <w:numId w:val="2"/>
        </w:numPr>
        <w:spacing w:after="60"/>
      </w:pPr>
      <w:r>
        <w:t xml:space="preserve">Topologie en étoile (hub-and-spoke) : le siège concentre les services (AD, DNS, web, fichiers) ; chaque agence établit un tunnel IPsec vers le siège. Ce modèle simplifie l'administration et la politique de sécurité.</w:t>
      </w:r>
    </w:p>
    <w:p>
      <w:pPr>
        <w:pStyle w:val="ListParagraph"/>
        <w:numPr>
          <w:ilvl w:val="0"/>
          <w:numId w:val="2"/>
        </w:numPr>
        <w:spacing w:after="60"/>
      </w:pPr>
      <w:r>
        <w:t xml:space="preserve">Authentification centralisée Active Directory : un seul annuaire (domaine ymmo.local) pour tous les sites.</w:t>
      </w:r>
    </w:p>
    <w:p>
      <w:pPr>
        <w:pStyle w:val="ListParagraph"/>
        <w:numPr>
          <w:ilvl w:val="0"/>
          <w:numId w:val="2"/>
        </w:numPr>
        <w:spacing w:after="60"/>
      </w:pPr>
      <w:r>
        <w:t xml:space="preserve">Pare-feu pfSense en périphérie de chaque site : filtrage, NAT, terminaison VPN.</w:t>
      </w:r>
    </w:p>
    <w:p>
      <w:r>
        <w:br w:type="page"/>
      </w:r>
    </w:p>
    <w:p>
      <w:pPr>
        <w:pStyle w:val="Heading1"/>
      </w:pPr>
      <w:r>
        <w:t xml:space="preserve">2. Schéma d'architecture réseau</w:t>
      </w:r>
    </w:p>
    <w:p>
      <w:pPr>
        <w:spacing w:after="200" w:before="200"/>
        <w:jc w:val="center"/>
      </w:pPr>
      <w:r>
        <w:drawing>
          <wp:inline distT="0" distB="0" distL="0" distR="0">
            <wp:extent cx="6286500" cy="3952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6286500" cy="3952875"/>
                    </a:xfrm>
                    <a:prstGeom prst="rect">
                      <a:avLst/>
                    </a:prstGeom>
                  </pic:spPr>
                </pic:pic>
              </a:graphicData>
            </a:graphic>
          </wp:inline>
        </w:drawing>
      </w:r>
    </w:p>
    <w:p>
      <w:pPr>
        <w:spacing w:after="120"/>
      </w:pPr>
      <w:r>
        <w:t xml:space="preserve">Le siège héberge les deux serveurs (SRV-YMMO-AD : annuaire, DNS, DHCP, fichiers ; SRV-YMMO-WEB : plateforme web et base de données). Chaque agence dispose d'un routeur pare-feu pfSense qui établit un tunnel IPsec permanent vers le pare-feu du siège. Les flux inter-sites transitent exclusivement par ces tunnels chiffrés.</w:t>
      </w:r>
    </w:p>
    <w:p>
      <w:pPr>
        <w:spacing w:after="120"/>
      </w:pPr>
      <w:r>
        <w:t xml:space="preserve">Dans la maquette, Internet est simulé par le réseau NAT de VMware Workstation (192.168.58.0/24) ; en production, chaque site disposerait d'un accès opérateur avec adresse IP publique fixe.</w:t>
      </w:r>
    </w:p>
    <w:p>
      <w:pPr>
        <w:pStyle w:val="Heading1"/>
      </w:pPr>
      <w:r>
        <w:t xml:space="preserve">3. Plan d'adressage IP</w:t>
      </w:r>
    </w:p>
    <w:p>
      <w:pPr>
        <w:pStyle w:val="Heading2"/>
      </w:pPr>
      <w:r>
        <w:t xml:space="preserve">3.1 Réseaux</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00"/>
        <w:gridCol w:w="1800"/>
        <w:gridCol w:w="1900"/>
        <w:gridCol w:w="1900"/>
        <w:gridCol w:w="1526"/>
      </w:tblGrid>
      <w:tr>
        <w:trPr>
          <w:tblHeader/>
        </w:trPr>
        <w:tc>
          <w:tcPr>
            <w:tcW w:type="dxa" w:w="190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r>
              <w:rPr>
                <w:b/>
                <w:bCs/>
                <w:color w:val="FFFFFF"/>
                <w:sz w:val="19"/>
                <w:szCs w:val="19"/>
              </w:rPr>
              <w:t xml:space="preserve">Site</w:t>
            </w:r>
          </w:p>
        </w:tc>
        <w:tc>
          <w:tcPr>
            <w:tcW w:type="dxa" w:w="180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r>
              <w:rPr>
                <w:b/>
                <w:bCs/>
                <w:color w:val="FFFFFF"/>
                <w:sz w:val="19"/>
                <w:szCs w:val="19"/>
              </w:rPr>
              <w:t xml:space="preserve">Réseau</w:t>
            </w:r>
          </w:p>
        </w:tc>
        <w:tc>
          <w:tcPr>
            <w:tcW w:type="dxa" w:w="190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r>
              <w:rPr>
                <w:b/>
                <w:bCs/>
                <w:color w:val="FFFFFF"/>
                <w:sz w:val="19"/>
                <w:szCs w:val="19"/>
              </w:rPr>
              <w:t xml:space="preserve">Passerelle</w:t>
            </w:r>
          </w:p>
        </w:tc>
        <w:tc>
          <w:tcPr>
            <w:tcW w:type="dxa" w:w="190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r>
              <w:rPr>
                <w:b/>
                <w:bCs/>
                <w:color w:val="FFFFFF"/>
                <w:sz w:val="19"/>
                <w:szCs w:val="19"/>
              </w:rPr>
              <w:t xml:space="preserve">Plage DHCP</w:t>
            </w:r>
          </w:p>
        </w:tc>
        <w:tc>
          <w:tcPr>
            <w:tcW w:type="dxa" w:w="1526"/>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r>
              <w:rPr>
                <w:b/>
                <w:bCs/>
                <w:color w:val="FFFFFF"/>
                <w:sz w:val="19"/>
                <w:szCs w:val="19"/>
              </w:rPr>
              <w:t xml:space="preserve">Adressage statique</w:t>
            </w:r>
          </w:p>
        </w:tc>
      </w:tr>
      <w:tr>
        <w:tc>
          <w:tcPr>
            <w:tcW w:type="dxa" w:w="19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9"/>
                <w:szCs w:val="19"/>
              </w:rPr>
              <w:t xml:space="preserve">Siège Aix-en-Provence</w:t>
            </w:r>
          </w:p>
        </w:tc>
        <w:tc>
          <w:tcPr>
            <w:tcW w:type="dxa" w:w="1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9"/>
                <w:szCs w:val="19"/>
              </w:rPr>
              <w:t xml:space="preserve">10.0.0.0/24</w:t>
            </w:r>
          </w:p>
        </w:tc>
        <w:tc>
          <w:tcPr>
            <w:tcW w:type="dxa" w:w="19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9"/>
                <w:szCs w:val="19"/>
              </w:rPr>
              <w:t xml:space="preserve">10.0.0.254 (pfSense)</w:t>
            </w:r>
          </w:p>
        </w:tc>
        <w:tc>
          <w:tcPr>
            <w:tcW w:type="dxa" w:w="19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9"/>
                <w:szCs w:val="19"/>
              </w:rPr>
              <w:t xml:space="preserve">10.0.0.100 – 10.0.0.199</w:t>
            </w:r>
          </w:p>
        </w:tc>
        <w:tc>
          <w:tcPr>
            <w:tcW w:type="dxa" w:w="152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9"/>
                <w:szCs w:val="19"/>
              </w:rPr>
              <w:t xml:space="preserve">10.0.0.1 – 10.0.0.99</w:t>
            </w:r>
          </w:p>
        </w:tc>
      </w:tr>
      <w:tr>
        <w:tc>
          <w:tcPr>
            <w:tcW w:type="dxa" w:w="19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9"/>
                <w:szCs w:val="19"/>
              </w:rPr>
              <w:t xml:space="preserve">Agence 01 (maquettée)</w:t>
            </w:r>
          </w:p>
        </w:tc>
        <w:tc>
          <w:tcPr>
            <w:tcW w:type="dxa" w:w="1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9"/>
                <w:szCs w:val="19"/>
              </w:rPr>
              <w:t xml:space="preserve">172.16.10.0/24</w:t>
            </w:r>
          </w:p>
        </w:tc>
        <w:tc>
          <w:tcPr>
            <w:tcW w:type="dxa" w:w="19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9"/>
                <w:szCs w:val="19"/>
              </w:rPr>
              <w:t xml:space="preserve">172.16.10.254 (pfSense)</w:t>
            </w:r>
          </w:p>
        </w:tc>
        <w:tc>
          <w:tcPr>
            <w:tcW w:type="dxa" w:w="19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9"/>
                <w:szCs w:val="19"/>
              </w:rPr>
              <w:t xml:space="preserve">172.16.10.100 – .199</w:t>
            </w:r>
          </w:p>
        </w:tc>
        <w:tc>
          <w:tcPr>
            <w:tcW w:type="dxa" w:w="152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9"/>
                <w:szCs w:val="19"/>
              </w:rPr>
              <w:t xml:space="preserve">172.16.10.1 – .99</w:t>
            </w:r>
          </w:p>
        </w:tc>
      </w:tr>
      <w:tr>
        <w:tc>
          <w:tcPr>
            <w:tcW w:type="dxa" w:w="19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9"/>
                <w:szCs w:val="19"/>
              </w:rPr>
              <w:t xml:space="preserve">Agence 02</w:t>
            </w:r>
          </w:p>
        </w:tc>
        <w:tc>
          <w:tcPr>
            <w:tcW w:type="dxa" w:w="1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9"/>
                <w:szCs w:val="19"/>
              </w:rPr>
              <w:t xml:space="preserve">172.16.20.0/24</w:t>
            </w:r>
          </w:p>
        </w:tc>
        <w:tc>
          <w:tcPr>
            <w:tcW w:type="dxa" w:w="19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9"/>
                <w:szCs w:val="19"/>
              </w:rPr>
              <w:t xml:space="preserve">172.16.20.254</w:t>
            </w:r>
          </w:p>
        </w:tc>
        <w:tc>
          <w:tcPr>
            <w:tcW w:type="dxa" w:w="19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9"/>
                <w:szCs w:val="19"/>
              </w:rPr>
              <w:t xml:space="preserve">172.16.20.100 – .199</w:t>
            </w:r>
          </w:p>
        </w:tc>
        <w:tc>
          <w:tcPr>
            <w:tcW w:type="dxa" w:w="152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9"/>
                <w:szCs w:val="19"/>
              </w:rPr>
              <w:t xml:space="preserve">—</w:t>
            </w:r>
          </w:p>
        </w:tc>
      </w:tr>
      <w:tr>
        <w:tc>
          <w:tcPr>
            <w:tcW w:type="dxa" w:w="19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9"/>
                <w:szCs w:val="19"/>
              </w:rPr>
              <w:t xml:space="preserve">Agence 03</w:t>
            </w:r>
          </w:p>
        </w:tc>
        <w:tc>
          <w:tcPr>
            <w:tcW w:type="dxa" w:w="1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9"/>
                <w:szCs w:val="19"/>
              </w:rPr>
              <w:t xml:space="preserve">172.16.30.0/24</w:t>
            </w:r>
          </w:p>
        </w:tc>
        <w:tc>
          <w:tcPr>
            <w:tcW w:type="dxa" w:w="19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9"/>
                <w:szCs w:val="19"/>
              </w:rPr>
              <w:t xml:space="preserve">172.16.30.254</w:t>
            </w:r>
          </w:p>
        </w:tc>
        <w:tc>
          <w:tcPr>
            <w:tcW w:type="dxa" w:w="19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9"/>
                <w:szCs w:val="19"/>
              </w:rPr>
              <w:t xml:space="preserve">172.16.30.100 – .199</w:t>
            </w:r>
          </w:p>
        </w:tc>
        <w:tc>
          <w:tcPr>
            <w:tcW w:type="dxa" w:w="152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9"/>
                <w:szCs w:val="19"/>
              </w:rPr>
              <w:t xml:space="preserve">—</w:t>
            </w:r>
          </w:p>
        </w:tc>
      </w:tr>
      <w:tr>
        <w:tc>
          <w:tcPr>
            <w:tcW w:type="dxa" w:w="19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9"/>
                <w:szCs w:val="19"/>
              </w:rPr>
              <w:t xml:space="preserve">…</w:t>
            </w:r>
          </w:p>
        </w:tc>
        <w:tc>
          <w:tcPr>
            <w:tcW w:type="dxa" w:w="1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9"/>
                <w:szCs w:val="19"/>
              </w:rPr>
              <w:t xml:space="preserve">…</w:t>
            </w:r>
          </w:p>
        </w:tc>
        <w:tc>
          <w:tcPr>
            <w:tcW w:type="dxa" w:w="19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9"/>
                <w:szCs w:val="19"/>
              </w:rPr>
              <w:t xml:space="preserve">…</w:t>
            </w:r>
          </w:p>
        </w:tc>
        <w:tc>
          <w:tcPr>
            <w:tcW w:type="dxa" w:w="19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9"/>
                <w:szCs w:val="19"/>
              </w:rPr>
              <w:t xml:space="preserve">…</w:t>
            </w:r>
          </w:p>
        </w:tc>
        <w:tc>
          <w:tcPr>
            <w:tcW w:type="dxa" w:w="152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9"/>
                <w:szCs w:val="19"/>
              </w:rPr>
              <w:t xml:space="preserve">…</w:t>
            </w:r>
          </w:p>
        </w:tc>
      </w:tr>
      <w:tr>
        <w:tc>
          <w:tcPr>
            <w:tcW w:type="dxa" w:w="19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9"/>
                <w:szCs w:val="19"/>
              </w:rPr>
              <w:t xml:space="preserve">Agence 12</w:t>
            </w:r>
          </w:p>
        </w:tc>
        <w:tc>
          <w:tcPr>
            <w:tcW w:type="dxa" w:w="1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9"/>
                <w:szCs w:val="19"/>
              </w:rPr>
              <w:t xml:space="preserve">172.16.120.0/24</w:t>
            </w:r>
          </w:p>
        </w:tc>
        <w:tc>
          <w:tcPr>
            <w:tcW w:type="dxa" w:w="19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9"/>
                <w:szCs w:val="19"/>
              </w:rPr>
              <w:t xml:space="preserve">172.16.120.254</w:t>
            </w:r>
          </w:p>
        </w:tc>
        <w:tc>
          <w:tcPr>
            <w:tcW w:type="dxa" w:w="19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9"/>
                <w:szCs w:val="19"/>
              </w:rPr>
              <w:t xml:space="preserve">172.16.120.100 – .199</w:t>
            </w:r>
          </w:p>
        </w:tc>
        <w:tc>
          <w:tcPr>
            <w:tcW w:type="dxa" w:w="152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9"/>
                <w:szCs w:val="19"/>
              </w:rPr>
              <w:t xml:space="preserve">—</w:t>
            </w:r>
          </w:p>
        </w:tc>
      </w:tr>
      <w:tr>
        <w:tc>
          <w:tcPr>
            <w:tcW w:type="dxa" w:w="19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9"/>
                <w:szCs w:val="19"/>
              </w:rPr>
              <w:t xml:space="preserve">WAN (maquette)</w:t>
            </w:r>
          </w:p>
        </w:tc>
        <w:tc>
          <w:tcPr>
            <w:tcW w:type="dxa" w:w="1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9"/>
                <w:szCs w:val="19"/>
              </w:rPr>
              <w:t xml:space="preserve">192.168.58.0/24</w:t>
            </w:r>
          </w:p>
        </w:tc>
        <w:tc>
          <w:tcPr>
            <w:tcW w:type="dxa" w:w="19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9"/>
                <w:szCs w:val="19"/>
              </w:rPr>
              <w:t xml:space="preserve">NAT VMware</w:t>
            </w:r>
          </w:p>
        </w:tc>
        <w:tc>
          <w:tcPr>
            <w:tcW w:type="dxa" w:w="19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9"/>
                <w:szCs w:val="19"/>
              </w:rPr>
              <w:t xml:space="preserve">—</w:t>
            </w:r>
          </w:p>
        </w:tc>
        <w:tc>
          <w:tcPr>
            <w:tcW w:type="dxa" w:w="152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9"/>
                <w:szCs w:val="19"/>
              </w:rPr>
              <w:t xml:space="preserve">WAN des pfSense</w:t>
            </w:r>
          </w:p>
        </w:tc>
      </w:tr>
    </w:tbl>
    <w:p>
      <w:pPr>
        <w:spacing w:after="120"/>
      </w:pPr>
      <w:r>
        <w:t xml:space="preserve">Convention : le 3e octet identifie l'agence (n° d'agence × 10), ce qui rend le plan immédiatement lisible et laisse de la place pour des sous-réseaux additionnels (VLAN voix, invités…). Chaque passerelle de site porte l'adresse .254 de son réseau.</w:t>
      </w:r>
    </w:p>
    <w:p>
      <w:pPr>
        <w:pStyle w:val="Heading2"/>
      </w:pPr>
      <w:r>
        <w:t xml:space="preserve">3.2 Adresses fixes du siège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700"/>
        <w:gridCol w:w="2300"/>
        <w:gridCol w:w="4026"/>
      </w:tblGrid>
      <w:tr>
        <w:trPr>
          <w:tblHeader/>
        </w:trPr>
        <w:tc>
          <w:tcPr>
            <w:tcW w:type="dxa" w:w="270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r>
              <w:rPr>
                <w:b/>
                <w:bCs/>
                <w:color w:val="FFFFFF"/>
                <w:sz w:val="19"/>
                <w:szCs w:val="19"/>
              </w:rPr>
              <w:t xml:space="preserve">Équipement</w:t>
            </w:r>
          </w:p>
        </w:tc>
        <w:tc>
          <w:tcPr>
            <w:tcW w:type="dxa" w:w="230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r>
              <w:rPr>
                <w:b/>
                <w:bCs/>
                <w:color w:val="FFFFFF"/>
                <w:sz w:val="19"/>
                <w:szCs w:val="19"/>
              </w:rPr>
              <w:t xml:space="preserve">Adresse IP</w:t>
            </w:r>
          </w:p>
        </w:tc>
        <w:tc>
          <w:tcPr>
            <w:tcW w:type="dxa" w:w="4026"/>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r>
              <w:rPr>
                <w:b/>
                <w:bCs/>
                <w:color w:val="FFFFFF"/>
                <w:sz w:val="19"/>
                <w:szCs w:val="19"/>
              </w:rPr>
              <w:t xml:space="preserve">Rôle</w:t>
            </w:r>
          </w:p>
        </w:tc>
      </w:tr>
      <w:tr>
        <w:tc>
          <w:tcPr>
            <w:tcW w:type="dxa" w:w="27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9"/>
                <w:szCs w:val="19"/>
              </w:rPr>
              <w:t xml:space="preserve">SRV-YMMO-AD</w:t>
            </w:r>
          </w:p>
        </w:tc>
        <w:tc>
          <w:tcPr>
            <w:tcW w:type="dxa" w:w="23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9"/>
                <w:szCs w:val="19"/>
              </w:rPr>
              <w:t xml:space="preserve">10.0.0.10</w:t>
            </w:r>
          </w:p>
        </w:tc>
        <w:tc>
          <w:tcPr>
            <w:tcW w:type="dxa" w:w="402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9"/>
                <w:szCs w:val="19"/>
              </w:rPr>
              <w:t xml:space="preserve">Contrôleur de domaine, DNS, DHCP, serveur de fichiers</w:t>
            </w:r>
          </w:p>
        </w:tc>
      </w:tr>
      <w:tr>
        <w:tc>
          <w:tcPr>
            <w:tcW w:type="dxa" w:w="27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9"/>
                <w:szCs w:val="19"/>
              </w:rPr>
              <w:t xml:space="preserve">SRV-YMMO-WEB</w:t>
            </w:r>
          </w:p>
        </w:tc>
        <w:tc>
          <w:tcPr>
            <w:tcW w:type="dxa" w:w="23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9"/>
                <w:szCs w:val="19"/>
              </w:rPr>
              <w:t xml:space="preserve">10.0.0.20</w:t>
            </w:r>
          </w:p>
        </w:tc>
        <w:tc>
          <w:tcPr>
            <w:tcW w:type="dxa" w:w="402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9"/>
                <w:szCs w:val="19"/>
              </w:rPr>
              <w:t xml:space="preserve">Serveur web (plateforme Ymmo) + base de données</w:t>
            </w:r>
          </w:p>
        </w:tc>
      </w:tr>
      <w:tr>
        <w:tc>
          <w:tcPr>
            <w:tcW w:type="dxa" w:w="27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9"/>
                <w:szCs w:val="19"/>
              </w:rPr>
              <w:t xml:space="preserve">Imprimante siège</w:t>
            </w:r>
          </w:p>
        </w:tc>
        <w:tc>
          <w:tcPr>
            <w:tcW w:type="dxa" w:w="23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9"/>
                <w:szCs w:val="19"/>
              </w:rPr>
              <w:t xml:space="preserve">10.0.0.30</w:t>
            </w:r>
          </w:p>
        </w:tc>
        <w:tc>
          <w:tcPr>
            <w:tcW w:type="dxa" w:w="402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9"/>
                <w:szCs w:val="19"/>
              </w:rPr>
              <w:t xml:space="preserve">Impression réseau</w:t>
            </w:r>
          </w:p>
        </w:tc>
      </w:tr>
      <w:tr>
        <w:tc>
          <w:tcPr>
            <w:tcW w:type="dxa" w:w="27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9"/>
                <w:szCs w:val="19"/>
              </w:rPr>
              <w:t xml:space="preserve">SRV-PFSENSE-GW (LAN)</w:t>
            </w:r>
          </w:p>
        </w:tc>
        <w:tc>
          <w:tcPr>
            <w:tcW w:type="dxa" w:w="23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9"/>
                <w:szCs w:val="19"/>
              </w:rPr>
              <w:t xml:space="preserve">10.0.0.254</w:t>
            </w:r>
          </w:p>
        </w:tc>
        <w:tc>
          <w:tcPr>
            <w:tcW w:type="dxa" w:w="402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9"/>
                <w:szCs w:val="19"/>
              </w:rPr>
              <w:t xml:space="preserve">Pare-feu / routeur / passerelle VPN du siège</w:t>
            </w:r>
          </w:p>
        </w:tc>
      </w:tr>
      <w:tr>
        <w:tc>
          <w:tcPr>
            <w:tcW w:type="dxa" w:w="27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9"/>
                <w:szCs w:val="19"/>
              </w:rPr>
              <w:t xml:space="preserve">SRV-PFSENSE-GW (WAN)</w:t>
            </w:r>
          </w:p>
        </w:tc>
        <w:tc>
          <w:tcPr>
            <w:tcW w:type="dxa" w:w="23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9"/>
                <w:szCs w:val="19"/>
              </w:rPr>
              <w:t xml:space="preserve">192.168.58.137</w:t>
            </w:r>
          </w:p>
        </w:tc>
        <w:tc>
          <w:tcPr>
            <w:tcW w:type="dxa" w:w="402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9"/>
                <w:szCs w:val="19"/>
              </w:rPr>
              <w:t xml:space="preserve">Interface publique (maquette)</w:t>
            </w:r>
          </w:p>
        </w:tc>
      </w:tr>
      <w:tr>
        <w:tc>
          <w:tcPr>
            <w:tcW w:type="dxa" w:w="27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9"/>
                <w:szCs w:val="19"/>
              </w:rPr>
              <w:t xml:space="preserve">RTR-YMMO-AGENCE (LAN)</w:t>
            </w:r>
          </w:p>
        </w:tc>
        <w:tc>
          <w:tcPr>
            <w:tcW w:type="dxa" w:w="23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9"/>
                <w:szCs w:val="19"/>
              </w:rPr>
              <w:t xml:space="preserve">172.16.10.254</w:t>
            </w:r>
          </w:p>
        </w:tc>
        <w:tc>
          <w:tcPr>
            <w:tcW w:type="dxa" w:w="402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9"/>
                <w:szCs w:val="19"/>
              </w:rPr>
              <w:t xml:space="preserve">Pare-feu / routeur agence 01</w:t>
            </w:r>
          </w:p>
        </w:tc>
      </w:tr>
      <w:tr>
        <w:tc>
          <w:tcPr>
            <w:tcW w:type="dxa" w:w="27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9"/>
                <w:szCs w:val="19"/>
              </w:rPr>
              <w:t xml:space="preserve">RTR-YMMO-AGENCE (WAN)</w:t>
            </w:r>
          </w:p>
        </w:tc>
        <w:tc>
          <w:tcPr>
            <w:tcW w:type="dxa" w:w="23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9"/>
                <w:szCs w:val="19"/>
              </w:rPr>
              <w:t xml:space="preserve">192.168.58.148</w:t>
            </w:r>
          </w:p>
        </w:tc>
        <w:tc>
          <w:tcPr>
            <w:tcW w:type="dxa" w:w="402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9"/>
                <w:szCs w:val="19"/>
              </w:rPr>
              <w:t xml:space="preserve">Interface publique agence (maquette)</w:t>
            </w:r>
          </w:p>
        </w:tc>
      </w:tr>
    </w:tbl>
    <w:p>
      <w:pPr>
        <w:spacing w:after="120"/>
      </w:pPr>
      <w:r>
        <w:t xml:space="preserve">Remarque maquette : les adresses indiquées ci-dessus pour SRV-YMMO-AD et SRV-YMMO-WEB correspondent au plan cible ; ajuster si les VM utilisent actuellement d'autres adresses du segment statique.</w:t>
      </w:r>
    </w:p>
    <w:p>
      <w:pPr>
        <w:pStyle w:val="Heading2"/>
      </w:pPr>
      <w:r>
        <w:t xml:space="preserve">3.3 Services réseau</w:t>
      </w:r>
    </w:p>
    <w:p>
      <w:pPr>
        <w:pStyle w:val="ListParagraph"/>
        <w:numPr>
          <w:ilvl w:val="0"/>
          <w:numId w:val="2"/>
        </w:numPr>
        <w:spacing w:after="60"/>
      </w:pPr>
      <w:r>
        <w:t xml:space="preserve">DNS : zone ymmo.local hébergée sur SRV-YMMO-AD (intégrée à l'annuaire). Tous les postes pointent vers 10.0.0.10.</w:t>
      </w:r>
    </w:p>
    <w:p>
      <w:pPr>
        <w:pStyle w:val="ListParagraph"/>
        <w:numPr>
          <w:ilvl w:val="0"/>
          <w:numId w:val="2"/>
        </w:numPr>
        <w:spacing w:after="60"/>
      </w:pPr>
      <w:r>
        <w:t xml:space="preserve">DHCP : service Windows sur SRV-YMMO-AD pour le siège ; service DHCP du pfSense local pour chaque agence (autonomie du site en cas de coupure VPN).</w:t>
      </w:r>
    </w:p>
    <w:p>
      <w:pPr>
        <w:pStyle w:val="ListParagraph"/>
        <w:numPr>
          <w:ilvl w:val="0"/>
          <w:numId w:val="2"/>
        </w:numPr>
        <w:spacing w:after="60"/>
      </w:pPr>
      <w:r>
        <w:t xml:space="preserve">NAT : assuré par le pfSense de chaque site pour l'accès Internet sortant.</w:t>
      </w:r>
    </w:p>
    <w:p>
      <w:r>
        <w:br w:type="page"/>
      </w:r>
    </w:p>
    <w:p>
      <w:pPr>
        <w:pStyle w:val="Heading1"/>
      </w:pPr>
      <w:r>
        <w:t xml:space="preserve">4. Politique de sécurité</w:t>
      </w:r>
    </w:p>
    <w:p>
      <w:pPr>
        <w:pStyle w:val="Heading2"/>
      </w:pPr>
      <w:r>
        <w:t xml:space="preserve">4.1 Principes directeurs</w:t>
      </w:r>
    </w:p>
    <w:p>
      <w:pPr>
        <w:pStyle w:val="ListParagraph"/>
        <w:numPr>
          <w:ilvl w:val="0"/>
          <w:numId w:val="2"/>
        </w:numPr>
        <w:spacing w:after="60"/>
      </w:pPr>
      <w:r>
        <w:t xml:space="preserve">Moindre privilège : un utilisateur n'accède qu'aux ressources nécessaires à son pôle (cf. matrice des droits, chapitre 5).</w:t>
      </w:r>
    </w:p>
    <w:p>
      <w:pPr>
        <w:pStyle w:val="ListParagraph"/>
        <w:numPr>
          <w:ilvl w:val="0"/>
          <w:numId w:val="2"/>
        </w:numPr>
        <w:spacing w:after="60"/>
      </w:pPr>
      <w:r>
        <w:t xml:space="preserve">Défense en périmètre : tout flux entrant est bloqué par défaut sur les interfaces WAN ; seuls les flux explicitement autorisés passent.</w:t>
      </w:r>
    </w:p>
    <w:p>
      <w:pPr>
        <w:pStyle w:val="ListParagraph"/>
        <w:numPr>
          <w:ilvl w:val="0"/>
          <w:numId w:val="2"/>
        </w:numPr>
        <w:spacing w:after="60"/>
      </w:pPr>
      <w:r>
        <w:t xml:space="preserve">Chiffrement des flux inter-sites : aucun trafic métier ne transite en clair sur le WAN.</w:t>
      </w:r>
    </w:p>
    <w:p>
      <w:pPr>
        <w:pStyle w:val="ListParagraph"/>
        <w:numPr>
          <w:ilvl w:val="0"/>
          <w:numId w:val="2"/>
        </w:numPr>
        <w:spacing w:after="60"/>
      </w:pPr>
      <w:r>
        <w:t xml:space="preserve">Authentification centralisée : comptes uniques dans Active Directory, politique de mot de passe imposée par GPO.</w:t>
      </w:r>
    </w:p>
    <w:p>
      <w:pPr>
        <w:pStyle w:val="Heading2"/>
      </w:pPr>
      <w:r>
        <w:t xml:space="preserve">4.2 VPN site-à-site IPsec</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400"/>
        <w:gridCol w:w="5626"/>
      </w:tblGrid>
      <w:tr>
        <w:trPr>
          <w:tblHeader/>
        </w:trPr>
        <w:tc>
          <w:tcPr>
            <w:tcW w:type="dxa" w:w="340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r>
              <w:rPr>
                <w:b/>
                <w:bCs/>
                <w:color w:val="FFFFFF"/>
                <w:sz w:val="19"/>
                <w:szCs w:val="19"/>
              </w:rPr>
              <w:t xml:space="preserve">Paramètre</w:t>
            </w:r>
          </w:p>
        </w:tc>
        <w:tc>
          <w:tcPr>
            <w:tcW w:type="dxa" w:w="5626"/>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r>
              <w:rPr>
                <w:b/>
                <w:bCs/>
                <w:color w:val="FFFFFF"/>
                <w:sz w:val="19"/>
                <w:szCs w:val="19"/>
              </w:rPr>
              <w:t xml:space="preserve">Valeur</w:t>
            </w:r>
          </w:p>
        </w:tc>
      </w:tr>
      <w:tr>
        <w:tc>
          <w:tcPr>
            <w:tcW w:type="dxa" w:w="3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9"/>
                <w:szCs w:val="19"/>
              </w:rPr>
              <w:t xml:space="preserve">Type</w:t>
            </w:r>
          </w:p>
        </w:tc>
        <w:tc>
          <w:tcPr>
            <w:tcW w:type="dxa" w:w="562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9"/>
                <w:szCs w:val="19"/>
              </w:rPr>
              <w:t xml:space="preserve">IPsec site-à-site, mode tunnel</w:t>
            </w:r>
          </w:p>
        </w:tc>
      </w:tr>
      <w:tr>
        <w:tc>
          <w:tcPr>
            <w:tcW w:type="dxa" w:w="3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9"/>
                <w:szCs w:val="19"/>
              </w:rPr>
              <w:t xml:space="preserve">Échange de clés</w:t>
            </w:r>
          </w:p>
        </w:tc>
        <w:tc>
          <w:tcPr>
            <w:tcW w:type="dxa" w:w="562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9"/>
                <w:szCs w:val="19"/>
              </w:rPr>
              <w:t xml:space="preserve">IKEv2</w:t>
            </w:r>
          </w:p>
        </w:tc>
      </w:tr>
      <w:tr>
        <w:tc>
          <w:tcPr>
            <w:tcW w:type="dxa" w:w="3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9"/>
                <w:szCs w:val="19"/>
              </w:rPr>
              <w:t xml:space="preserve">Authentification Phase 1</w:t>
            </w:r>
          </w:p>
        </w:tc>
        <w:tc>
          <w:tcPr>
            <w:tcW w:type="dxa" w:w="562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9"/>
                <w:szCs w:val="19"/>
              </w:rPr>
              <w:t xml:space="preserve">Clé pré-partagée (Mutual PSK)</w:t>
            </w:r>
          </w:p>
        </w:tc>
      </w:tr>
      <w:tr>
        <w:tc>
          <w:tcPr>
            <w:tcW w:type="dxa" w:w="3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9"/>
                <w:szCs w:val="19"/>
              </w:rPr>
              <w:t xml:space="preserve">Chiffrement Phase 1</w:t>
            </w:r>
          </w:p>
        </w:tc>
        <w:tc>
          <w:tcPr>
            <w:tcW w:type="dxa" w:w="562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9"/>
                <w:szCs w:val="19"/>
              </w:rPr>
              <w:t xml:space="preserve">AES-256</w:t>
            </w:r>
          </w:p>
        </w:tc>
      </w:tr>
      <w:tr>
        <w:tc>
          <w:tcPr>
            <w:tcW w:type="dxa" w:w="3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9"/>
                <w:szCs w:val="19"/>
              </w:rPr>
              <w:t xml:space="preserve">Intégrité Phase 1</w:t>
            </w:r>
          </w:p>
        </w:tc>
        <w:tc>
          <w:tcPr>
            <w:tcW w:type="dxa" w:w="562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9"/>
                <w:szCs w:val="19"/>
              </w:rPr>
              <w:t xml:space="preserve">SHA-256</w:t>
            </w:r>
          </w:p>
        </w:tc>
      </w:tr>
      <w:tr>
        <w:tc>
          <w:tcPr>
            <w:tcW w:type="dxa" w:w="3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9"/>
                <w:szCs w:val="19"/>
              </w:rPr>
              <w:t xml:space="preserve">Groupe Diffie-Hellman</w:t>
            </w:r>
          </w:p>
        </w:tc>
        <w:tc>
          <w:tcPr>
            <w:tcW w:type="dxa" w:w="562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9"/>
                <w:szCs w:val="19"/>
              </w:rPr>
              <w:t xml:space="preserve">14 (2048 bits)</w:t>
            </w:r>
          </w:p>
        </w:tc>
      </w:tr>
      <w:tr>
        <w:tc>
          <w:tcPr>
            <w:tcW w:type="dxa" w:w="3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9"/>
                <w:szCs w:val="19"/>
              </w:rPr>
              <w:t xml:space="preserve">Phase 2 (ESP)</w:t>
            </w:r>
          </w:p>
        </w:tc>
        <w:tc>
          <w:tcPr>
            <w:tcW w:type="dxa" w:w="562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9"/>
                <w:szCs w:val="19"/>
              </w:rPr>
              <w:t xml:space="preserve">AES-128 / AES-128-GCM, SHA-256, PFS groupe 14</w:t>
            </w:r>
          </w:p>
        </w:tc>
      </w:tr>
      <w:tr>
        <w:tc>
          <w:tcPr>
            <w:tcW w:type="dxa" w:w="3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9"/>
                <w:szCs w:val="19"/>
              </w:rPr>
              <w:t xml:space="preserve">Réseaux chiffrés</w:t>
            </w:r>
          </w:p>
        </w:tc>
        <w:tc>
          <w:tcPr>
            <w:tcW w:type="dxa" w:w="562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9"/>
                <w:szCs w:val="19"/>
              </w:rPr>
              <w:t xml:space="preserve">10.0.0.0/24 ↔ 172.16.X0.0/24 (un tunnel par agence)</w:t>
            </w:r>
          </w:p>
        </w:tc>
      </w:tr>
    </w:tbl>
    <w:p>
      <w:pPr>
        <w:spacing w:after="120"/>
      </w:pPr>
      <w:r>
        <w:t xml:space="preserve">En production, la clé pré-partagée serait remplacée par des certificats X.509 délivrés par une autorité interne, et une PSK longue et aléatoire distincte serait utilisée par tunnel.</w:t>
      </w:r>
    </w:p>
    <w:p>
      <w:pPr>
        <w:pStyle w:val="Heading2"/>
      </w:pPr>
      <w:r>
        <w:t xml:space="preserve">4.3 Règles de pare-feu (interfaces WAN)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00"/>
        <w:gridCol w:w="900"/>
        <w:gridCol w:w="900"/>
        <w:gridCol w:w="1900"/>
        <w:gridCol w:w="1500"/>
        <w:gridCol w:w="800"/>
        <w:gridCol w:w="2526"/>
      </w:tblGrid>
      <w:tr>
        <w:trPr>
          <w:tblHeader/>
        </w:trPr>
        <w:tc>
          <w:tcPr>
            <w:tcW w:type="dxa" w:w="50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r>
              <w:rPr>
                <w:b/>
                <w:bCs/>
                <w:color w:val="FFFFFF"/>
                <w:sz w:val="19"/>
                <w:szCs w:val="19"/>
              </w:rPr>
              <w:t xml:space="preserve">#</w:t>
            </w:r>
          </w:p>
        </w:tc>
        <w:tc>
          <w:tcPr>
            <w:tcW w:type="dxa" w:w="90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r>
              <w:rPr>
                <w:b/>
                <w:bCs/>
                <w:color w:val="FFFFFF"/>
                <w:sz w:val="19"/>
                <w:szCs w:val="19"/>
              </w:rPr>
              <w:t xml:space="preserve">Action</w:t>
            </w:r>
          </w:p>
        </w:tc>
        <w:tc>
          <w:tcPr>
            <w:tcW w:type="dxa" w:w="90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r>
              <w:rPr>
                <w:b/>
                <w:bCs/>
                <w:color w:val="FFFFFF"/>
                <w:sz w:val="19"/>
                <w:szCs w:val="19"/>
              </w:rPr>
              <w:t xml:space="preserve">Proto</w:t>
            </w:r>
          </w:p>
        </w:tc>
        <w:tc>
          <w:tcPr>
            <w:tcW w:type="dxa" w:w="190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r>
              <w:rPr>
                <w:b/>
                <w:bCs/>
                <w:color w:val="FFFFFF"/>
                <w:sz w:val="19"/>
                <w:szCs w:val="19"/>
              </w:rPr>
              <w:t xml:space="preserve">Source</w:t>
            </w:r>
          </w:p>
        </w:tc>
        <w:tc>
          <w:tcPr>
            <w:tcW w:type="dxa" w:w="150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r>
              <w:rPr>
                <w:b/>
                <w:bCs/>
                <w:color w:val="FFFFFF"/>
                <w:sz w:val="19"/>
                <w:szCs w:val="19"/>
              </w:rPr>
              <w:t xml:space="preserve">Destination</w:t>
            </w:r>
          </w:p>
        </w:tc>
        <w:tc>
          <w:tcPr>
            <w:tcW w:type="dxa" w:w="80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r>
              <w:rPr>
                <w:b/>
                <w:bCs/>
                <w:color w:val="FFFFFF"/>
                <w:sz w:val="19"/>
                <w:szCs w:val="19"/>
              </w:rPr>
              <w:t xml:space="preserve">Port</w:t>
            </w:r>
          </w:p>
        </w:tc>
        <w:tc>
          <w:tcPr>
            <w:tcW w:type="dxa" w:w="2526"/>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r>
              <w:rPr>
                <w:b/>
                <w:bCs/>
                <w:color w:val="FFFFFF"/>
                <w:sz w:val="19"/>
                <w:szCs w:val="19"/>
              </w:rPr>
              <w:t xml:space="preserve">Description</w:t>
            </w:r>
          </w:p>
        </w:tc>
      </w:tr>
      <w:tr>
        <w:tc>
          <w:tcPr>
            <w:tcW w:type="dxa" w:w="5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9"/>
                <w:szCs w:val="19"/>
              </w:rPr>
              <w:t xml:space="preserve">1</w:t>
            </w:r>
          </w:p>
        </w:tc>
        <w:tc>
          <w:tcPr>
            <w:tcW w:type="dxa" w:w="9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9"/>
                <w:szCs w:val="19"/>
              </w:rPr>
              <w:t xml:space="preserve">Pass</w:t>
            </w:r>
          </w:p>
        </w:tc>
        <w:tc>
          <w:tcPr>
            <w:tcW w:type="dxa" w:w="9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9"/>
                <w:szCs w:val="19"/>
              </w:rPr>
              <w:t xml:space="preserve">UDP</w:t>
            </w:r>
          </w:p>
        </w:tc>
        <w:tc>
          <w:tcPr>
            <w:tcW w:type="dxa" w:w="19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9"/>
                <w:szCs w:val="19"/>
              </w:rPr>
              <w:t xml:space="preserve">IP WAN du pair</w:t>
            </w:r>
          </w:p>
        </w:tc>
        <w:tc>
          <w:tcPr>
            <w:tcW w:type="dxa" w:w="15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9"/>
                <w:szCs w:val="19"/>
              </w:rPr>
              <w:t xml:space="preserve">WAN address</w:t>
            </w:r>
          </w:p>
        </w:tc>
        <w:tc>
          <w:tcPr>
            <w:tcW w:type="dxa" w:w="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9"/>
                <w:szCs w:val="19"/>
              </w:rPr>
              <w:t xml:space="preserve">500</w:t>
            </w:r>
          </w:p>
        </w:tc>
        <w:tc>
          <w:tcPr>
            <w:tcW w:type="dxa" w:w="252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9"/>
                <w:szCs w:val="19"/>
              </w:rPr>
              <w:t xml:space="preserve">IKE (négociation IPsec)</w:t>
            </w:r>
          </w:p>
        </w:tc>
      </w:tr>
      <w:tr>
        <w:tc>
          <w:tcPr>
            <w:tcW w:type="dxa" w:w="5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9"/>
                <w:szCs w:val="19"/>
              </w:rPr>
              <w:t xml:space="preserve">2</w:t>
            </w:r>
          </w:p>
        </w:tc>
        <w:tc>
          <w:tcPr>
            <w:tcW w:type="dxa" w:w="9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9"/>
                <w:szCs w:val="19"/>
              </w:rPr>
              <w:t xml:space="preserve">Pass</w:t>
            </w:r>
          </w:p>
        </w:tc>
        <w:tc>
          <w:tcPr>
            <w:tcW w:type="dxa" w:w="9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9"/>
                <w:szCs w:val="19"/>
              </w:rPr>
              <w:t xml:space="preserve">UDP</w:t>
            </w:r>
          </w:p>
        </w:tc>
        <w:tc>
          <w:tcPr>
            <w:tcW w:type="dxa" w:w="19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9"/>
                <w:szCs w:val="19"/>
              </w:rPr>
              <w:t xml:space="preserve">IP WAN du pair</w:t>
            </w:r>
          </w:p>
        </w:tc>
        <w:tc>
          <w:tcPr>
            <w:tcW w:type="dxa" w:w="15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9"/>
                <w:szCs w:val="19"/>
              </w:rPr>
              <w:t xml:space="preserve">WAN address</w:t>
            </w:r>
          </w:p>
        </w:tc>
        <w:tc>
          <w:tcPr>
            <w:tcW w:type="dxa" w:w="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9"/>
                <w:szCs w:val="19"/>
              </w:rPr>
              <w:t xml:space="preserve">4500</w:t>
            </w:r>
          </w:p>
        </w:tc>
        <w:tc>
          <w:tcPr>
            <w:tcW w:type="dxa" w:w="252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9"/>
                <w:szCs w:val="19"/>
              </w:rPr>
              <w:t xml:space="preserve">NAT-Traversal</w:t>
            </w:r>
          </w:p>
        </w:tc>
      </w:tr>
      <w:tr>
        <w:tc>
          <w:tcPr>
            <w:tcW w:type="dxa" w:w="5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9"/>
                <w:szCs w:val="19"/>
              </w:rPr>
              <w:t xml:space="preserve">3</w:t>
            </w:r>
          </w:p>
        </w:tc>
        <w:tc>
          <w:tcPr>
            <w:tcW w:type="dxa" w:w="9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9"/>
                <w:szCs w:val="19"/>
              </w:rPr>
              <w:t xml:space="preserve">Pass</w:t>
            </w:r>
          </w:p>
        </w:tc>
        <w:tc>
          <w:tcPr>
            <w:tcW w:type="dxa" w:w="9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9"/>
                <w:szCs w:val="19"/>
              </w:rPr>
              <w:t xml:space="preserve">ESP</w:t>
            </w:r>
          </w:p>
        </w:tc>
        <w:tc>
          <w:tcPr>
            <w:tcW w:type="dxa" w:w="19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9"/>
                <w:szCs w:val="19"/>
              </w:rPr>
              <w:t xml:space="preserve">IP WAN du pair</w:t>
            </w:r>
          </w:p>
        </w:tc>
        <w:tc>
          <w:tcPr>
            <w:tcW w:type="dxa" w:w="15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9"/>
                <w:szCs w:val="19"/>
              </w:rPr>
              <w:t xml:space="preserve">WAN address</w:t>
            </w:r>
          </w:p>
        </w:tc>
        <w:tc>
          <w:tcPr>
            <w:tcW w:type="dxa" w:w="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9"/>
                <w:szCs w:val="19"/>
              </w:rPr>
              <w:t xml:space="preserve">—</w:t>
            </w:r>
          </w:p>
        </w:tc>
        <w:tc>
          <w:tcPr>
            <w:tcW w:type="dxa" w:w="252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9"/>
                <w:szCs w:val="19"/>
              </w:rPr>
              <w:t xml:space="preserve">Charge utile chiffrée IPsec</w:t>
            </w:r>
          </w:p>
        </w:tc>
      </w:tr>
      <w:tr>
        <w:tc>
          <w:tcPr>
            <w:tcW w:type="dxa" w:w="5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9"/>
                <w:szCs w:val="19"/>
              </w:rPr>
              <w:t xml:space="preserve">4</w:t>
            </w:r>
          </w:p>
        </w:tc>
        <w:tc>
          <w:tcPr>
            <w:tcW w:type="dxa" w:w="9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9"/>
                <w:szCs w:val="19"/>
              </w:rPr>
              <w:t xml:space="preserve">Pass</w:t>
            </w:r>
          </w:p>
        </w:tc>
        <w:tc>
          <w:tcPr>
            <w:tcW w:type="dxa" w:w="9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9"/>
                <w:szCs w:val="19"/>
              </w:rPr>
              <w:t xml:space="preserve">TCP</w:t>
            </w:r>
          </w:p>
        </w:tc>
        <w:tc>
          <w:tcPr>
            <w:tcW w:type="dxa" w:w="19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9"/>
                <w:szCs w:val="19"/>
              </w:rPr>
              <w:t xml:space="preserve">192.168.58.0/24</w:t>
            </w:r>
          </w:p>
        </w:tc>
        <w:tc>
          <w:tcPr>
            <w:tcW w:type="dxa" w:w="15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9"/>
                <w:szCs w:val="19"/>
              </w:rPr>
              <w:t xml:space="preserve">WAN address</w:t>
            </w:r>
          </w:p>
        </w:tc>
        <w:tc>
          <w:tcPr>
            <w:tcW w:type="dxa" w:w="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9"/>
                <w:szCs w:val="19"/>
              </w:rPr>
              <w:t xml:space="preserve">443</w:t>
            </w:r>
          </w:p>
        </w:tc>
        <w:tc>
          <w:tcPr>
            <w:tcW w:type="dxa" w:w="252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9"/>
                <w:szCs w:val="19"/>
              </w:rPr>
              <w:t xml:space="preserve">Administration WebGUI (maquette uniquement)</w:t>
            </w:r>
          </w:p>
        </w:tc>
      </w:tr>
      <w:tr>
        <w:tc>
          <w:tcPr>
            <w:tcW w:type="dxa" w:w="5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9"/>
                <w:szCs w:val="19"/>
              </w:rPr>
              <w:t xml:space="preserve">5</w:t>
            </w:r>
          </w:p>
        </w:tc>
        <w:tc>
          <w:tcPr>
            <w:tcW w:type="dxa" w:w="9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9"/>
                <w:szCs w:val="19"/>
              </w:rPr>
              <w:t xml:space="preserve">Block</w:t>
            </w:r>
          </w:p>
        </w:tc>
        <w:tc>
          <w:tcPr>
            <w:tcW w:type="dxa" w:w="9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9"/>
                <w:szCs w:val="19"/>
              </w:rPr>
              <w:t xml:space="preserve">*</w:t>
            </w:r>
          </w:p>
        </w:tc>
        <w:tc>
          <w:tcPr>
            <w:tcW w:type="dxa" w:w="19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9"/>
                <w:szCs w:val="19"/>
              </w:rPr>
              <w:t xml:space="preserve">*</w:t>
            </w:r>
          </w:p>
        </w:tc>
        <w:tc>
          <w:tcPr>
            <w:tcW w:type="dxa" w:w="15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9"/>
                <w:szCs w:val="19"/>
              </w:rPr>
              <w:t xml:space="preserve">*</w:t>
            </w:r>
          </w:p>
        </w:tc>
        <w:tc>
          <w:tcPr>
            <w:tcW w:type="dxa" w:w="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9"/>
                <w:szCs w:val="19"/>
              </w:rPr>
              <w:t xml:space="preserve">*</w:t>
            </w:r>
          </w:p>
        </w:tc>
        <w:tc>
          <w:tcPr>
            <w:tcW w:type="dxa" w:w="252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9"/>
                <w:szCs w:val="19"/>
              </w:rPr>
              <w:t xml:space="preserve">Règle implicite : tout le reste est bloqué</w:t>
            </w:r>
          </w:p>
        </w:tc>
      </w:tr>
    </w:tbl>
    <w:p>
      <w:pPr>
        <w:spacing w:after="120"/>
      </w:pPr>
      <w:r>
        <w:t xml:space="preserve">La règle n°4 n'existe que dans la maquette (administration via le réseau NAT VMware) ; en production, l'administration des pare-feux se fait exclusivement depuis le LAN ou via le tunnel VPN. Les options « Block private networks » et « Block bogon networks » sont désactivées sur les WAN de la maquette car les adresses simulées sont privées ; elles seraient réactivées en production.</w:t>
      </w:r>
    </w:p>
    <w:p>
      <w:pPr>
        <w:spacing w:after="240" w:before="120"/>
      </w:pPr>
      <w:r>
        <w:rPr>
          <w:i/>
          <w:iCs/>
          <w:color w:val="C0504D"/>
        </w:rPr>
        <w:t xml:space="preserve">[ Capture à insérer : Firewall &gt; Rules &gt; WAN du pfSense siège, et Status &gt; IPsec montrant le tunnel ESTABLISHED ]</w:t>
      </w:r>
    </w:p>
    <w:p>
      <w:pPr>
        <w:pStyle w:val="Heading2"/>
      </w:pPr>
      <w:r>
        <w:t xml:space="preserve">4.4 Durcissement des systèmes</w:t>
      </w:r>
    </w:p>
    <w:p>
      <w:pPr>
        <w:pStyle w:val="ListParagraph"/>
        <w:numPr>
          <w:ilvl w:val="0"/>
          <w:numId w:val="2"/>
        </w:numPr>
        <w:spacing w:after="60"/>
      </w:pPr>
      <w:r>
        <w:t xml:space="preserve">Politique de mots de passe AD (GPO) : longueur minimale, complexité, verrouillage de compte après échecs répétés.</w:t>
      </w:r>
    </w:p>
    <w:p>
      <w:pPr>
        <w:pStyle w:val="ListParagraph"/>
        <w:numPr>
          <w:ilvl w:val="0"/>
          <w:numId w:val="2"/>
        </w:numPr>
        <w:spacing w:after="60"/>
      </w:pPr>
      <w:r>
        <w:t xml:space="preserve">Mises à jour : Windows Update activé sur les serveurs ; mises à jour pfSense suivies depuis le tableau de bord.</w:t>
      </w:r>
    </w:p>
    <w:p>
      <w:pPr>
        <w:pStyle w:val="ListParagraph"/>
        <w:numPr>
          <w:ilvl w:val="0"/>
          <w:numId w:val="2"/>
        </w:numPr>
        <w:spacing w:after="60"/>
      </w:pPr>
      <w:r>
        <w:t xml:space="preserve">Comptes d'administration séparés des comptes utilisateurs ; mot de passe par défaut du WebGUI pfSense à changer (avertissement traité).</w:t>
      </w:r>
    </w:p>
    <w:p>
      <w:pPr>
        <w:pStyle w:val="ListParagraph"/>
        <w:numPr>
          <w:ilvl w:val="0"/>
          <w:numId w:val="2"/>
        </w:numPr>
        <w:spacing w:after="60"/>
      </w:pPr>
      <w:r>
        <w:t xml:space="preserve">Sauvegardes quotidiennes chiffrées et conservées sur volume dédié (chapitre 7).</w:t>
      </w:r>
    </w:p>
    <w:p>
      <w:r>
        <w:br w:type="page"/>
      </w:r>
    </w:p>
    <w:p>
      <w:pPr>
        <w:pStyle w:val="Heading1"/>
      </w:pPr>
      <w:r>
        <w:t xml:space="preserve">5. Plan de gestion des droits d'accès</w:t>
      </w:r>
    </w:p>
    <w:p>
      <w:pPr>
        <w:pStyle w:val="Heading2"/>
      </w:pPr>
      <w:r>
        <w:t xml:space="preserve">5.1 Matrice des droits (cahier des charges)</w:t>
      </w:r>
    </w:p>
    <w:p>
      <w:pPr>
        <w:spacing w:after="120"/>
      </w:pPr>
      <w:r>
        <w:t xml:space="preserve">L/É = Lecture/Écriture. Chaque pôle est propriétaire de son dossier et dispose au plus d'un droit de lecture sur les dossiers des autres pôles, conformément à la matrice client :</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4"/>
        <w:gridCol w:w="1504"/>
        <w:gridCol w:w="1504"/>
        <w:gridCol w:w="1504"/>
        <w:gridCol w:w="1504"/>
        <w:gridCol w:w="1504"/>
      </w:tblGrid>
      <w:tr>
        <w:trPr>
          <w:tblHeader/>
        </w:trPr>
        <w:tc>
          <w:tcPr>
            <w:tcW w:type="dxa" w:w="1504"/>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r>
              <w:rPr>
                <w:b/>
                <w:bCs/>
                <w:color w:val="FFFFFF"/>
                <w:sz w:val="19"/>
                <w:szCs w:val="19"/>
              </w:rPr>
              <w:t xml:space="preserve">Pôle \ Dossier</w:t>
            </w:r>
          </w:p>
        </w:tc>
        <w:tc>
          <w:tcPr>
            <w:tcW w:type="dxa" w:w="1504"/>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r>
              <w:rPr>
                <w:b/>
                <w:bCs/>
                <w:color w:val="FFFFFF"/>
                <w:sz w:val="19"/>
                <w:szCs w:val="19"/>
              </w:rPr>
              <w:t xml:space="preserve">Direction</w:t>
            </w:r>
          </w:p>
        </w:tc>
        <w:tc>
          <w:tcPr>
            <w:tcW w:type="dxa" w:w="1504"/>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r>
              <w:rPr>
                <w:b/>
                <w:bCs/>
                <w:color w:val="FFFFFF"/>
                <w:sz w:val="19"/>
                <w:szCs w:val="19"/>
              </w:rPr>
              <w:t xml:space="preserve">Commercial</w:t>
            </w:r>
          </w:p>
        </w:tc>
        <w:tc>
          <w:tcPr>
            <w:tcW w:type="dxa" w:w="1504"/>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r>
              <w:rPr>
                <w:b/>
                <w:bCs/>
                <w:color w:val="FFFFFF"/>
                <w:sz w:val="19"/>
                <w:szCs w:val="19"/>
              </w:rPr>
              <w:t xml:space="preserve">Com. &amp; Mkt</w:t>
            </w:r>
          </w:p>
        </w:tc>
        <w:tc>
          <w:tcPr>
            <w:tcW w:type="dxa" w:w="1504"/>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r>
              <w:rPr>
                <w:b/>
                <w:bCs/>
                <w:color w:val="FFFFFF"/>
                <w:sz w:val="19"/>
                <w:szCs w:val="19"/>
              </w:rPr>
              <w:t xml:space="preserve">Adm-RH-Jur</w:t>
            </w:r>
          </w:p>
        </w:tc>
        <w:tc>
          <w:tcPr>
            <w:tcW w:type="dxa" w:w="1504"/>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r>
              <w:rPr>
                <w:b/>
                <w:bCs/>
                <w:color w:val="FFFFFF"/>
                <w:sz w:val="19"/>
                <w:szCs w:val="19"/>
              </w:rPr>
              <w:t xml:space="preserve">IT &amp; Support</w:t>
            </w:r>
          </w:p>
        </w:tc>
      </w:tr>
      <w:tr>
        <w:tc>
          <w:tcPr>
            <w:tcW w:type="dxa" w:w="1504"/>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9"/>
                <w:szCs w:val="19"/>
              </w:rPr>
              <w:t xml:space="preserve">Direction</w:t>
            </w:r>
          </w:p>
        </w:tc>
        <w:tc>
          <w:tcPr>
            <w:tcW w:type="dxa" w:w="1504"/>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9"/>
                <w:szCs w:val="19"/>
              </w:rPr>
              <w:t xml:space="preserve">L/É</w:t>
            </w:r>
          </w:p>
        </w:tc>
        <w:tc>
          <w:tcPr>
            <w:tcW w:type="dxa" w:w="1504"/>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9"/>
                <w:szCs w:val="19"/>
              </w:rPr>
              <w:t xml:space="preserve">Lecture</w:t>
            </w:r>
          </w:p>
        </w:tc>
        <w:tc>
          <w:tcPr>
            <w:tcW w:type="dxa" w:w="1504"/>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9"/>
                <w:szCs w:val="19"/>
              </w:rPr>
              <w:t xml:space="preserve">Lecture</w:t>
            </w:r>
          </w:p>
        </w:tc>
        <w:tc>
          <w:tcPr>
            <w:tcW w:type="dxa" w:w="1504"/>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9"/>
                <w:szCs w:val="19"/>
              </w:rPr>
              <w:t xml:space="preserve">Lecture</w:t>
            </w:r>
          </w:p>
        </w:tc>
        <w:tc>
          <w:tcPr>
            <w:tcW w:type="dxa" w:w="1504"/>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9"/>
                <w:szCs w:val="19"/>
              </w:rPr>
              <w:t xml:space="preserve">Lecture</w:t>
            </w:r>
          </w:p>
        </w:tc>
      </w:tr>
      <w:tr>
        <w:tc>
          <w:tcPr>
            <w:tcW w:type="dxa" w:w="1504"/>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9"/>
                <w:szCs w:val="19"/>
              </w:rPr>
              <w:t xml:space="preserve">Commercial</w:t>
            </w:r>
          </w:p>
        </w:tc>
        <w:tc>
          <w:tcPr>
            <w:tcW w:type="dxa" w:w="1504"/>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9"/>
                <w:szCs w:val="19"/>
              </w:rPr>
              <w:t xml:space="preserve">Interdit</w:t>
            </w:r>
          </w:p>
        </w:tc>
        <w:tc>
          <w:tcPr>
            <w:tcW w:type="dxa" w:w="1504"/>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9"/>
                <w:szCs w:val="19"/>
              </w:rPr>
              <w:t xml:space="preserve">L/É</w:t>
            </w:r>
          </w:p>
        </w:tc>
        <w:tc>
          <w:tcPr>
            <w:tcW w:type="dxa" w:w="1504"/>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9"/>
                <w:szCs w:val="19"/>
              </w:rPr>
              <w:t xml:space="preserve">Lecture</w:t>
            </w:r>
          </w:p>
        </w:tc>
        <w:tc>
          <w:tcPr>
            <w:tcW w:type="dxa" w:w="1504"/>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9"/>
                <w:szCs w:val="19"/>
              </w:rPr>
              <w:t xml:space="preserve">Interdit</w:t>
            </w:r>
          </w:p>
        </w:tc>
        <w:tc>
          <w:tcPr>
            <w:tcW w:type="dxa" w:w="1504"/>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9"/>
                <w:szCs w:val="19"/>
              </w:rPr>
              <w:t xml:space="preserve">Interdit</w:t>
            </w:r>
          </w:p>
        </w:tc>
      </w:tr>
      <w:tr>
        <w:tc>
          <w:tcPr>
            <w:tcW w:type="dxa" w:w="1504"/>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9"/>
                <w:szCs w:val="19"/>
              </w:rPr>
              <w:t xml:space="preserve">Com. &amp; Marketing</w:t>
            </w:r>
          </w:p>
        </w:tc>
        <w:tc>
          <w:tcPr>
            <w:tcW w:type="dxa" w:w="1504"/>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9"/>
                <w:szCs w:val="19"/>
              </w:rPr>
              <w:t xml:space="preserve">Interdit</w:t>
            </w:r>
          </w:p>
        </w:tc>
        <w:tc>
          <w:tcPr>
            <w:tcW w:type="dxa" w:w="1504"/>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9"/>
                <w:szCs w:val="19"/>
              </w:rPr>
              <w:t xml:space="preserve">Lecture</w:t>
            </w:r>
          </w:p>
        </w:tc>
        <w:tc>
          <w:tcPr>
            <w:tcW w:type="dxa" w:w="1504"/>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9"/>
                <w:szCs w:val="19"/>
              </w:rPr>
              <w:t xml:space="preserve">L/É</w:t>
            </w:r>
          </w:p>
        </w:tc>
        <w:tc>
          <w:tcPr>
            <w:tcW w:type="dxa" w:w="1504"/>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9"/>
                <w:szCs w:val="19"/>
              </w:rPr>
              <w:t xml:space="preserve">Interdit</w:t>
            </w:r>
          </w:p>
        </w:tc>
        <w:tc>
          <w:tcPr>
            <w:tcW w:type="dxa" w:w="1504"/>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9"/>
                <w:szCs w:val="19"/>
              </w:rPr>
              <w:t xml:space="preserve">Interdit</w:t>
            </w:r>
          </w:p>
        </w:tc>
      </w:tr>
      <w:tr>
        <w:tc>
          <w:tcPr>
            <w:tcW w:type="dxa" w:w="1504"/>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9"/>
                <w:szCs w:val="19"/>
              </w:rPr>
              <w:t xml:space="preserve">Adm - RH - Juridique</w:t>
            </w:r>
          </w:p>
        </w:tc>
        <w:tc>
          <w:tcPr>
            <w:tcW w:type="dxa" w:w="1504"/>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9"/>
                <w:szCs w:val="19"/>
              </w:rPr>
              <w:t xml:space="preserve">Interdit</w:t>
            </w:r>
          </w:p>
        </w:tc>
        <w:tc>
          <w:tcPr>
            <w:tcW w:type="dxa" w:w="1504"/>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9"/>
                <w:szCs w:val="19"/>
              </w:rPr>
              <w:t xml:space="preserve">Lecture</w:t>
            </w:r>
          </w:p>
        </w:tc>
        <w:tc>
          <w:tcPr>
            <w:tcW w:type="dxa" w:w="1504"/>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9"/>
                <w:szCs w:val="19"/>
              </w:rPr>
              <w:t xml:space="preserve">Lecture</w:t>
            </w:r>
          </w:p>
        </w:tc>
        <w:tc>
          <w:tcPr>
            <w:tcW w:type="dxa" w:w="1504"/>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9"/>
                <w:szCs w:val="19"/>
              </w:rPr>
              <w:t xml:space="preserve">L/É</w:t>
            </w:r>
          </w:p>
        </w:tc>
        <w:tc>
          <w:tcPr>
            <w:tcW w:type="dxa" w:w="1504"/>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9"/>
                <w:szCs w:val="19"/>
              </w:rPr>
              <w:t xml:space="preserve">Interdit</w:t>
            </w:r>
          </w:p>
        </w:tc>
      </w:tr>
      <w:tr>
        <w:tc>
          <w:tcPr>
            <w:tcW w:type="dxa" w:w="1504"/>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9"/>
                <w:szCs w:val="19"/>
              </w:rPr>
              <w:t xml:space="preserve">IT et Support</w:t>
            </w:r>
          </w:p>
        </w:tc>
        <w:tc>
          <w:tcPr>
            <w:tcW w:type="dxa" w:w="1504"/>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9"/>
                <w:szCs w:val="19"/>
              </w:rPr>
              <w:t xml:space="preserve">Interdit</w:t>
            </w:r>
          </w:p>
        </w:tc>
        <w:tc>
          <w:tcPr>
            <w:tcW w:type="dxa" w:w="1504"/>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9"/>
                <w:szCs w:val="19"/>
              </w:rPr>
              <w:t xml:space="preserve">Lecture</w:t>
            </w:r>
          </w:p>
        </w:tc>
        <w:tc>
          <w:tcPr>
            <w:tcW w:type="dxa" w:w="1504"/>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9"/>
                <w:szCs w:val="19"/>
              </w:rPr>
              <w:t xml:space="preserve">Lecture</w:t>
            </w:r>
          </w:p>
        </w:tc>
        <w:tc>
          <w:tcPr>
            <w:tcW w:type="dxa" w:w="1504"/>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9"/>
                <w:szCs w:val="19"/>
              </w:rPr>
              <w:t xml:space="preserve">Interdit</w:t>
            </w:r>
          </w:p>
        </w:tc>
        <w:tc>
          <w:tcPr>
            <w:tcW w:type="dxa" w:w="1504"/>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9"/>
                <w:szCs w:val="19"/>
              </w:rPr>
              <w:t xml:space="preserve">L/É</w:t>
            </w:r>
          </w:p>
        </w:tc>
      </w:tr>
    </w:tbl>
    <w:p>
      <w:pPr>
        <w:pStyle w:val="Heading2"/>
      </w:pPr>
      <w:r>
        <w:t xml:space="preserve">5.2 Implémentation Active Directory</w:t>
      </w:r>
    </w:p>
    <w:p>
      <w:pPr>
        <w:spacing w:after="120"/>
      </w:pPr>
      <w:r>
        <w:t xml:space="preserve">Domaine : ymmo.local — contrôleur de domaine SRV-YMMO-AD (Windows Server 2022).</w:t>
      </w:r>
    </w:p>
    <w:p>
      <w:pPr>
        <w:spacing w:after="120"/>
      </w:pPr>
      <w:r>
        <w:t xml:space="preserve">Arborescence d'unités d'organisation (OU) :</w:t>
      </w:r>
    </w:p>
    <w:p>
      <w:pPr>
        <w:pStyle w:val="ListParagraph"/>
        <w:numPr>
          <w:ilvl w:val="0"/>
          <w:numId w:val="2"/>
        </w:numPr>
        <w:spacing w:after="60"/>
      </w:pPr>
      <w:r>
        <w:t xml:space="preserve">YMMO-GROUPE / SIEGE-AIX / { Commercial, Communication, Direction, IT, RH }</w:t>
      </w:r>
    </w:p>
    <w:p>
      <w:pPr>
        <w:pStyle w:val="ListParagraph"/>
        <w:numPr>
          <w:ilvl w:val="0"/>
          <w:numId w:val="2"/>
        </w:numPr>
        <w:spacing w:after="60"/>
      </w:pPr>
      <w:r>
        <w:t xml:space="preserve">YMMO-GROUPE / AGENCES-DISTANTES / AGENCE-01 (extensible AGENCE-02 … AGENCE-12)</w:t>
      </w:r>
    </w:p>
    <w:p>
      <w:pPr>
        <w:spacing w:after="120"/>
      </w:pPr>
      <w:r>
        <w:t xml:space="preserve">Le modèle suit la bonne pratique AGDLP : les utilisateurs sont placés dans des groupes globaux par pôle, et ce sont ces groupes (jamais les utilisateurs individuellement) qui reçoivent les permissions NTFS sur les dossiers.</w:t>
      </w:r>
    </w:p>
    <w:p>
      <w:pPr>
        <w:pStyle w:val="Heading2"/>
      </w:pPr>
      <w:r>
        <w:t xml:space="preserve">5.3 Partages de fichiers</w:t>
      </w:r>
    </w:p>
    <w:p>
      <w:pPr>
        <w:spacing w:after="120"/>
      </w:pPr>
      <w:r>
        <w:t xml:space="preserve">Serveur de fichiers : SRV-YMMO-AD, racine C:\PARTAGES_YMMO contenant les cinq dossiers de pôle (Commercial, Communication, Direction, IT, RH), chacun publié en partage réseau.</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00"/>
        <w:gridCol w:w="2400"/>
        <w:gridCol w:w="3100"/>
        <w:gridCol w:w="1826"/>
      </w:tblGrid>
      <w:tr>
        <w:trPr>
          <w:tblHeader/>
        </w:trPr>
        <w:tc>
          <w:tcPr>
            <w:tcW w:type="dxa" w:w="170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r>
              <w:rPr>
                <w:b/>
                <w:bCs/>
                <w:color w:val="FFFFFF"/>
                <w:sz w:val="19"/>
                <w:szCs w:val="19"/>
              </w:rPr>
              <w:t xml:space="preserve">Dossier</w:t>
            </w:r>
          </w:p>
        </w:tc>
        <w:tc>
          <w:tcPr>
            <w:tcW w:type="dxa" w:w="240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r>
              <w:rPr>
                <w:b/>
                <w:bCs/>
                <w:color w:val="FFFFFF"/>
                <w:sz w:val="19"/>
                <w:szCs w:val="19"/>
              </w:rPr>
              <w:t xml:space="preserve">Groupe propriétaire (L/É)</w:t>
            </w:r>
          </w:p>
        </w:tc>
        <w:tc>
          <w:tcPr>
            <w:tcW w:type="dxa" w:w="310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r>
              <w:rPr>
                <w:b/>
                <w:bCs/>
                <w:color w:val="FFFFFF"/>
                <w:sz w:val="19"/>
                <w:szCs w:val="19"/>
              </w:rPr>
              <w:t xml:space="preserve">Groupes en lecture</w:t>
            </w:r>
          </w:p>
        </w:tc>
        <w:tc>
          <w:tcPr>
            <w:tcW w:type="dxa" w:w="1826"/>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r>
              <w:rPr>
                <w:b/>
                <w:bCs/>
                <w:color w:val="FFFFFF"/>
                <w:sz w:val="19"/>
                <w:szCs w:val="19"/>
              </w:rPr>
              <w:t xml:space="preserve">Accès refusé</w:t>
            </w:r>
          </w:p>
        </w:tc>
      </w:tr>
      <w:tr>
        <w:tc>
          <w:tcPr>
            <w:tcW w:type="dxa" w:w="17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9"/>
                <w:szCs w:val="19"/>
              </w:rPr>
              <w:t xml:space="preserve">Direction</w:t>
            </w:r>
          </w:p>
        </w:tc>
        <w:tc>
          <w:tcPr>
            <w:tcW w:type="dxa" w:w="2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9"/>
                <w:szCs w:val="19"/>
              </w:rPr>
              <w:t xml:space="preserve">Pôle Direction</w:t>
            </w:r>
          </w:p>
        </w:tc>
        <w:tc>
          <w:tcPr>
            <w:tcW w:type="dxa" w:w="31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9"/>
                <w:szCs w:val="19"/>
              </w:rPr>
              <w:t xml:space="preserve">—</w:t>
            </w:r>
          </w:p>
        </w:tc>
        <w:tc>
          <w:tcPr>
            <w:tcW w:type="dxa" w:w="182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9"/>
                <w:szCs w:val="19"/>
              </w:rPr>
              <w:t xml:space="preserve">Tous les autres pôles</w:t>
            </w:r>
          </w:p>
        </w:tc>
      </w:tr>
      <w:tr>
        <w:tc>
          <w:tcPr>
            <w:tcW w:type="dxa" w:w="17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9"/>
                <w:szCs w:val="19"/>
              </w:rPr>
              <w:t xml:space="preserve">Commercial</w:t>
            </w:r>
          </w:p>
        </w:tc>
        <w:tc>
          <w:tcPr>
            <w:tcW w:type="dxa" w:w="2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9"/>
                <w:szCs w:val="19"/>
              </w:rPr>
              <w:t xml:space="preserve">Pôle Commercial</w:t>
            </w:r>
          </w:p>
        </w:tc>
        <w:tc>
          <w:tcPr>
            <w:tcW w:type="dxa" w:w="31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9"/>
                <w:szCs w:val="19"/>
              </w:rPr>
              <w:t xml:space="preserve">Direction, Com&amp;Mkt, Adm-RH-Jur, IT</w:t>
            </w:r>
          </w:p>
        </w:tc>
        <w:tc>
          <w:tcPr>
            <w:tcW w:type="dxa" w:w="182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9"/>
                <w:szCs w:val="19"/>
              </w:rPr>
              <w:t xml:space="preserve">—</w:t>
            </w:r>
          </w:p>
        </w:tc>
      </w:tr>
      <w:tr>
        <w:tc>
          <w:tcPr>
            <w:tcW w:type="dxa" w:w="17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9"/>
                <w:szCs w:val="19"/>
              </w:rPr>
              <w:t xml:space="preserve">Communication</w:t>
            </w:r>
          </w:p>
        </w:tc>
        <w:tc>
          <w:tcPr>
            <w:tcW w:type="dxa" w:w="2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9"/>
                <w:szCs w:val="19"/>
              </w:rPr>
              <w:t xml:space="preserve">Pôle Com &amp; Marketing</w:t>
            </w:r>
          </w:p>
        </w:tc>
        <w:tc>
          <w:tcPr>
            <w:tcW w:type="dxa" w:w="31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9"/>
                <w:szCs w:val="19"/>
              </w:rPr>
              <w:t xml:space="preserve">Direction, Commercial, Adm-RH-Jur, IT</w:t>
            </w:r>
          </w:p>
        </w:tc>
        <w:tc>
          <w:tcPr>
            <w:tcW w:type="dxa" w:w="182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9"/>
                <w:szCs w:val="19"/>
              </w:rPr>
              <w:t xml:space="preserve">—</w:t>
            </w:r>
          </w:p>
        </w:tc>
      </w:tr>
      <w:tr>
        <w:tc>
          <w:tcPr>
            <w:tcW w:type="dxa" w:w="17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9"/>
                <w:szCs w:val="19"/>
              </w:rPr>
              <w:t xml:space="preserve">RH (Adm-RH-Jur)</w:t>
            </w:r>
          </w:p>
        </w:tc>
        <w:tc>
          <w:tcPr>
            <w:tcW w:type="dxa" w:w="2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9"/>
                <w:szCs w:val="19"/>
              </w:rPr>
              <w:t xml:space="preserve">Pôle Adm-RH-Juridique</w:t>
            </w:r>
          </w:p>
        </w:tc>
        <w:tc>
          <w:tcPr>
            <w:tcW w:type="dxa" w:w="31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9"/>
                <w:szCs w:val="19"/>
              </w:rPr>
              <w:t xml:space="preserve">Direction</w:t>
            </w:r>
          </w:p>
        </w:tc>
        <w:tc>
          <w:tcPr>
            <w:tcW w:type="dxa" w:w="182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9"/>
                <w:szCs w:val="19"/>
              </w:rPr>
              <w:t xml:space="preserve">Commercial, Com&amp;Mkt, IT</w:t>
            </w:r>
          </w:p>
        </w:tc>
      </w:tr>
      <w:tr>
        <w:tc>
          <w:tcPr>
            <w:tcW w:type="dxa" w:w="17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9"/>
                <w:szCs w:val="19"/>
              </w:rPr>
              <w:t xml:space="preserve">IT</w:t>
            </w:r>
          </w:p>
        </w:tc>
        <w:tc>
          <w:tcPr>
            <w:tcW w:type="dxa" w:w="2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9"/>
                <w:szCs w:val="19"/>
              </w:rPr>
              <w:t xml:space="preserve">Pôle IT &amp; Support</w:t>
            </w:r>
          </w:p>
        </w:tc>
        <w:tc>
          <w:tcPr>
            <w:tcW w:type="dxa" w:w="31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9"/>
                <w:szCs w:val="19"/>
              </w:rPr>
              <w:t xml:space="preserve">Direction</w:t>
            </w:r>
          </w:p>
        </w:tc>
        <w:tc>
          <w:tcPr>
            <w:tcW w:type="dxa" w:w="182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9"/>
                <w:szCs w:val="19"/>
              </w:rPr>
              <w:t xml:space="preserve">Commercial, Com&amp;Mkt, Adm-RH-Jur</w:t>
            </w:r>
          </w:p>
        </w:tc>
      </w:tr>
    </w:tbl>
    <w:p>
      <w:pPr>
        <w:spacing w:after="120"/>
      </w:pPr>
      <w:r>
        <w:t xml:space="preserve">Validation : test effectué avec l'utilisateur Marc Vendeur (pôle Commercial) depuis un poste membre du domaine — écriture possible dans \\SRV-YMMO-AD\Commercial, lecture seule sur Communication, accès refusé sur Direction, conformément à la matrice.</w:t>
      </w:r>
    </w:p>
    <w:p>
      <w:pPr>
        <w:spacing w:after="240" w:before="120"/>
      </w:pPr>
      <w:r>
        <w:rPr>
          <w:i/>
          <w:iCs/>
          <w:color w:val="C0504D"/>
        </w:rPr>
        <w:t xml:space="preserve">[ Capture à insérer : onglet Sécurité d'un dossier partagé + message « Accès refusé » obtenu avec le compte Commercial sur le dossier Direction ]</w:t>
      </w:r>
    </w:p>
    <w:p>
      <w:pPr>
        <w:pStyle w:val="Heading2"/>
      </w:pPr>
      <w:r>
        <w:t xml:space="preserve">5.4 Stratégies de groupe (GPO)</w:t>
      </w:r>
    </w:p>
    <w:p>
      <w:pPr>
        <w:pStyle w:val="ListParagraph"/>
        <w:numPr>
          <w:ilvl w:val="0"/>
          <w:numId w:val="2"/>
        </w:numPr>
        <w:spacing w:after="60"/>
      </w:pPr>
      <w:r>
        <w:t xml:space="preserve">GPO « Politique de mots de passe » : appliquée au domaine (longueur, complexité, verrouillage).</w:t>
      </w:r>
    </w:p>
    <w:p>
      <w:pPr>
        <w:pStyle w:val="ListParagraph"/>
        <w:numPr>
          <w:ilvl w:val="0"/>
          <w:numId w:val="2"/>
        </w:numPr>
        <w:spacing w:after="60"/>
      </w:pPr>
      <w:r>
        <w:t xml:space="preserve">GPO de mappage des lecteurs réseau : connecte automatiquement le dossier du pôle de l'utilisateur à l'ouverture de session (ciblage par groupe).</w:t>
      </w:r>
    </w:p>
    <w:p>
      <w:pPr>
        <w:pStyle w:val="ListParagraph"/>
        <w:numPr>
          <w:ilvl w:val="0"/>
          <w:numId w:val="2"/>
        </w:numPr>
        <w:spacing w:after="60"/>
      </w:pPr>
      <w:r>
        <w:t xml:space="preserve">[Compléter avec les autres GPO réellement créées : restrictions du panneau de configuration, fond d'écran d'entreprise, etc.]</w:t>
      </w:r>
    </w:p>
    <w:p>
      <w:pPr>
        <w:spacing w:after="240" w:before="120"/>
      </w:pPr>
      <w:r>
        <w:rPr>
          <w:i/>
          <w:iCs/>
          <w:color w:val="C0504D"/>
        </w:rPr>
        <w:t xml:space="preserve">[ Capture à insérer : console Gestion des stratégies de groupe, arborescence ymmo.local dépliée ]</w:t>
      </w:r>
    </w:p>
    <w:p>
      <w:r>
        <w:br w:type="page"/>
      </w:r>
    </w:p>
    <w:p>
      <w:pPr>
        <w:pStyle w:val="Heading1"/>
      </w:pPr>
      <w:r>
        <w:t xml:space="preserve">6. Guide de configuration des serveurs</w:t>
      </w:r>
    </w:p>
    <w:p>
      <w:pPr>
        <w:pStyle w:val="Heading2"/>
      </w:pPr>
      <w:r>
        <w:t xml:space="preserve">6.1 SRV-YMMO-AD — Windows Server 2022</w:t>
      </w:r>
    </w:p>
    <w:p>
      <w:pPr>
        <w:spacing w:after="120"/>
      </w:pPr>
      <w:r>
        <w:t xml:space="preserve">Rôles installés : AD DS, DNS, DHCP, Services de fichiers et de stockage, Sauvegarde Windows Server (fonctionnalité).</w:t>
      </w:r>
    </w:p>
    <w:p>
      <w:pPr>
        <w:pStyle w:val="ListParagraph"/>
        <w:numPr>
          <w:ilvl w:val="0"/>
          <w:numId w:val="3"/>
        </w:numPr>
        <w:spacing w:after="60"/>
      </w:pPr>
      <w:r>
        <w:t xml:space="preserve">Installer Windows Server 2022, nommer la machine SRV-YMMO-AD, fixer l'adresse IP statique (10.0.0.10/24, passerelle 10.0.0.254, DNS 127.0.0.1).</w:t>
      </w:r>
    </w:p>
    <w:p>
      <w:pPr>
        <w:pStyle w:val="ListParagraph"/>
        <w:numPr>
          <w:ilvl w:val="0"/>
          <w:numId w:val="3"/>
        </w:numPr>
        <w:spacing w:after="60"/>
      </w:pPr>
      <w:r>
        <w:t xml:space="preserve">Ajouter le rôle AD DS puis promouvoir le serveur : nouvelle forêt ymmo.local. Le rôle DNS est installé automatiquement avec la zone intégrée.</w:t>
      </w:r>
    </w:p>
    <w:p>
      <w:pPr>
        <w:pStyle w:val="ListParagraph"/>
        <w:numPr>
          <w:ilvl w:val="0"/>
          <w:numId w:val="3"/>
        </w:numPr>
        <w:spacing w:after="60"/>
      </w:pPr>
      <w:r>
        <w:t xml:space="preserve">Ajouter le rôle DHCP : créer l'étendue « Siège » 10.0.0.100-199/24, passerelle 10.0.0.254, DNS 10.0.0.10, autoriser le serveur dans l'annuaire.</w:t>
      </w:r>
    </w:p>
    <w:p>
      <w:pPr>
        <w:pStyle w:val="ListParagraph"/>
        <w:numPr>
          <w:ilvl w:val="0"/>
          <w:numId w:val="3"/>
        </w:numPr>
        <w:spacing w:after="60"/>
      </w:pPr>
      <w:r>
        <w:t xml:space="preserve">Créer l'arborescence d'OU (cf. 5.2), les groupes de pôle et les utilisateurs de test (un par pôle minimum).</w:t>
      </w:r>
    </w:p>
    <w:p>
      <w:pPr>
        <w:pStyle w:val="ListParagraph"/>
        <w:numPr>
          <w:ilvl w:val="0"/>
          <w:numId w:val="3"/>
        </w:numPr>
        <w:spacing w:after="60"/>
      </w:pPr>
      <w:r>
        <w:t xml:space="preserve">Créer C:\PARTAGES_YMMO et les cinq dossiers de pôle ; configurer partage + NTFS selon la matrice (droits accordés aux groupes, héritage rompu sur chaque dossier de pôle).</w:t>
      </w:r>
    </w:p>
    <w:p>
      <w:pPr>
        <w:pStyle w:val="ListParagraph"/>
        <w:numPr>
          <w:ilvl w:val="0"/>
          <w:numId w:val="3"/>
        </w:numPr>
        <w:spacing w:after="60"/>
      </w:pPr>
      <w:r>
        <w:t xml:space="preserve">Créer et lier les GPO (cf. 5.4) ; vérifier l'application avec gpresult /r sur un poste membre.</w:t>
      </w:r>
    </w:p>
    <w:p>
      <w:pPr>
        <w:pStyle w:val="ListParagraph"/>
        <w:numPr>
          <w:ilvl w:val="0"/>
          <w:numId w:val="3"/>
        </w:numPr>
        <w:spacing w:after="60"/>
      </w:pPr>
      <w:r>
        <w:t xml:space="preserve">Installer la fonctionnalité Sauvegarde Windows Server et configurer la planification (cf. chapitre 7).</w:t>
      </w:r>
    </w:p>
    <w:p>
      <w:pPr>
        <w:spacing w:after="240" w:before="120"/>
      </w:pPr>
      <w:r>
        <w:rPr>
          <w:i/>
          <w:iCs/>
          <w:color w:val="C0504D"/>
        </w:rPr>
        <w:t xml:space="preserve">[ Capture à insérer : assistant Rôles et fonctionnalités montrant DHCP, DNS et AD DS installés ]</w:t>
      </w:r>
    </w:p>
    <w:p>
      <w:pPr>
        <w:pStyle w:val="Heading2"/>
      </w:pPr>
      <w:r>
        <w:t xml:space="preserve">6.2 SRV-YMMO-WEB — Windows Server 2019</w:t>
      </w:r>
    </w:p>
    <w:p>
      <w:pPr>
        <w:spacing w:after="120"/>
      </w:pPr>
      <w:r>
        <w:t xml:space="preserve">Héberge la plateforme web Ymmo (frontend Next.js sur le port 3000, API FastAPI sur le port 8000, base PostgreSQL). Machine membre du domaine ymmo.local — elle sert également de poste de démonstration pour la matrice des droits dans la maquette.</w:t>
      </w:r>
    </w:p>
    <w:p>
      <w:pPr>
        <w:pStyle w:val="ListParagraph"/>
        <w:numPr>
          <w:ilvl w:val="0"/>
          <w:numId w:val="3"/>
        </w:numPr>
        <w:spacing w:after="60"/>
      </w:pPr>
      <w:r>
        <w:t xml:space="preserve">Joindre la machine au domaine ymmo.local (DNS pointé vers 10.0.0.10 au préalable).</w:t>
      </w:r>
    </w:p>
    <w:p>
      <w:pPr>
        <w:pStyle w:val="ListParagraph"/>
        <w:numPr>
          <w:ilvl w:val="0"/>
          <w:numId w:val="3"/>
        </w:numPr>
        <w:spacing w:after="60"/>
      </w:pPr>
      <w:r>
        <w:t xml:space="preserve">Installer PostgreSQL 16 + PostGIS, Python 3.12, Node.js 20.</w:t>
      </w:r>
    </w:p>
    <w:p>
      <w:pPr>
        <w:pStyle w:val="ListParagraph"/>
        <w:numPr>
          <w:ilvl w:val="0"/>
          <w:numId w:val="3"/>
        </w:numPr>
        <w:spacing w:after="60"/>
      </w:pPr>
      <w:r>
        <w:t xml:space="preserve">Déployer l'application selon le guide du dépôt Git (clone, venv + pip install, alembic upgrade head, seed, npm install + build, processus gérés par PM2).</w:t>
      </w:r>
    </w:p>
    <w:p>
      <w:pPr>
        <w:pStyle w:val="Heading2"/>
      </w:pPr>
      <w:r>
        <w:t xml:space="preserve">6.3 SRV-PFSENSE-GW — pfSense 2.7.2 (siège)</w:t>
      </w:r>
    </w:p>
    <w:p>
      <w:pPr>
        <w:pStyle w:val="ListParagraph"/>
        <w:numPr>
          <w:ilvl w:val="0"/>
          <w:numId w:val="3"/>
        </w:numPr>
        <w:spacing w:after="60"/>
      </w:pPr>
      <w:r>
        <w:t xml:space="preserve">Affecter les interfaces : WAN = em0 (192.168.58.137/24 via DHCP maquette), LAN = em1 (10.0.0.254/24).</w:t>
      </w:r>
    </w:p>
    <w:p>
      <w:pPr>
        <w:pStyle w:val="ListParagraph"/>
        <w:numPr>
          <w:ilvl w:val="0"/>
          <w:numId w:val="3"/>
        </w:numPr>
        <w:spacing w:after="60"/>
      </w:pPr>
      <w:r>
        <w:t xml:space="preserve">Désactiver « Block private networks » sur le WAN (spécifique maquette).</w:t>
      </w:r>
    </w:p>
    <w:p>
      <w:pPr>
        <w:pStyle w:val="ListParagraph"/>
        <w:numPr>
          <w:ilvl w:val="0"/>
          <w:numId w:val="3"/>
        </w:numPr>
        <w:spacing w:after="60"/>
      </w:pPr>
      <w:r>
        <w:t xml:space="preserve">Créer les règles WAN du chapitre 4.3.</w:t>
      </w:r>
    </w:p>
    <w:p>
      <w:pPr>
        <w:pStyle w:val="ListParagraph"/>
        <w:numPr>
          <w:ilvl w:val="0"/>
          <w:numId w:val="3"/>
        </w:numPr>
        <w:spacing w:after="60"/>
      </w:pPr>
      <w:r>
        <w:t xml:space="preserve">VPN &gt; IPsec : créer la Phase 1 (IKEv2, pair 192.168.58.148, PSK, AES-256/SHA-256/DH14) puis la Phase 2 (LAN subnet ↔ 172.16.10.0/24, ESP AES-128(+GCM)/SHA-256/PFS 14).</w:t>
      </w:r>
    </w:p>
    <w:p>
      <w:pPr>
        <w:pStyle w:val="ListParagraph"/>
        <w:numPr>
          <w:ilvl w:val="0"/>
          <w:numId w:val="3"/>
        </w:numPr>
        <w:spacing w:after="60"/>
      </w:pPr>
      <w:r>
        <w:t xml:space="preserve">Vérifier Status &gt; IPsec : état ESTABLISHED, puis test Diagnostics &gt; Ping vers 172.16.10.254 avec source LAN.</w:t>
      </w:r>
    </w:p>
    <w:p>
      <w:pPr>
        <w:pStyle w:val="Heading2"/>
      </w:pPr>
      <w:r>
        <w:t xml:space="preserve">6.4 RTR-YMMO-AGENCE — pfSense 2.7.2 (agence 01)</w:t>
      </w:r>
    </w:p>
    <w:p>
      <w:pPr>
        <w:spacing w:after="120"/>
      </w:pPr>
      <w:r>
        <w:t xml:space="preserve">Configuration miroir du siège : WAN 192.168.58.148, LAN 172.16.10.254/24, mêmes règles WAN (source = IP du siège), Phase 1 vers 192.168.58.137 avec paramètres identiques, Phase 2 inversée (LAN subnet ↔ 10.0.0.0/24). DHCP local actif pour les postes de l'agence. Renommer l'hôte (rtr-agence01) — la VM étant un clone du pfSense siège, le hostname d'origine doit être corrigé dans System &gt; General Setup.</w:t>
      </w:r>
    </w:p>
    <w:p>
      <w:r>
        <w:br w:type="page"/>
      </w:r>
    </w:p>
    <w:p>
      <w:pPr>
        <w:pStyle w:val="Heading1"/>
      </w:pPr>
      <w:r>
        <w:t xml:space="preserve">7. Plan de sauvegarde et de supervision</w:t>
      </w:r>
    </w:p>
    <w:p>
      <w:pPr>
        <w:pStyle w:val="Heading2"/>
      </w:pPr>
      <w:r>
        <w:t xml:space="preserve">7.1 Stratégie de sauvegarde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00"/>
        <w:gridCol w:w="2500"/>
        <w:gridCol w:w="1500"/>
        <w:gridCol w:w="1900"/>
        <w:gridCol w:w="1226"/>
      </w:tblGrid>
      <w:tr>
        <w:trPr>
          <w:tblHeader/>
        </w:trPr>
        <w:tc>
          <w:tcPr>
            <w:tcW w:type="dxa" w:w="190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r>
              <w:rPr>
                <w:b/>
                <w:bCs/>
                <w:color w:val="FFFFFF"/>
                <w:sz w:val="19"/>
                <w:szCs w:val="19"/>
              </w:rPr>
              <w:t xml:space="preserve">Élément</w:t>
            </w:r>
          </w:p>
        </w:tc>
        <w:tc>
          <w:tcPr>
            <w:tcW w:type="dxa" w:w="250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r>
              <w:rPr>
                <w:b/>
                <w:bCs/>
                <w:color w:val="FFFFFF"/>
                <w:sz w:val="19"/>
                <w:szCs w:val="19"/>
              </w:rPr>
              <w:t xml:space="preserve">Contenu</w:t>
            </w:r>
          </w:p>
        </w:tc>
        <w:tc>
          <w:tcPr>
            <w:tcW w:type="dxa" w:w="150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r>
              <w:rPr>
                <w:b/>
                <w:bCs/>
                <w:color w:val="FFFFFF"/>
                <w:sz w:val="19"/>
                <w:szCs w:val="19"/>
              </w:rPr>
              <w:t xml:space="preserve">Fréquence</w:t>
            </w:r>
          </w:p>
        </w:tc>
        <w:tc>
          <w:tcPr>
            <w:tcW w:type="dxa" w:w="190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r>
              <w:rPr>
                <w:b/>
                <w:bCs/>
                <w:color w:val="FFFFFF"/>
                <w:sz w:val="19"/>
                <w:szCs w:val="19"/>
              </w:rPr>
              <w:t xml:space="preserve">Destination</w:t>
            </w:r>
          </w:p>
        </w:tc>
        <w:tc>
          <w:tcPr>
            <w:tcW w:type="dxa" w:w="1226"/>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r>
              <w:rPr>
                <w:b/>
                <w:bCs/>
                <w:color w:val="FFFFFF"/>
                <w:sz w:val="19"/>
                <w:szCs w:val="19"/>
              </w:rPr>
              <w:t xml:space="preserve">Rétention</w:t>
            </w:r>
          </w:p>
        </w:tc>
      </w:tr>
      <w:tr>
        <w:tc>
          <w:tcPr>
            <w:tcW w:type="dxa" w:w="19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9"/>
                <w:szCs w:val="19"/>
              </w:rPr>
              <w:t xml:space="preserve">État du système AD</w:t>
            </w:r>
          </w:p>
        </w:tc>
        <w:tc>
          <w:tcPr>
            <w:tcW w:type="dxa" w:w="25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9"/>
                <w:szCs w:val="19"/>
              </w:rPr>
              <w:t xml:space="preserve">Annuaire, SYSVOL, registre</w:t>
            </w:r>
          </w:p>
        </w:tc>
        <w:tc>
          <w:tcPr>
            <w:tcW w:type="dxa" w:w="15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9"/>
                <w:szCs w:val="19"/>
              </w:rPr>
              <w:t xml:space="preserve">Quotidienne (nuit)</w:t>
            </w:r>
          </w:p>
        </w:tc>
        <w:tc>
          <w:tcPr>
            <w:tcW w:type="dxa" w:w="19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9"/>
                <w:szCs w:val="19"/>
              </w:rPr>
              <w:t xml:space="preserve">Volume dédié E: (disque virtuel 20 Go)</w:t>
            </w:r>
          </w:p>
        </w:tc>
        <w:tc>
          <w:tcPr>
            <w:tcW w:type="dxa" w:w="122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9"/>
                <w:szCs w:val="19"/>
              </w:rPr>
              <w:t xml:space="preserve">Versions gérées par Windows Server Backup</w:t>
            </w:r>
          </w:p>
        </w:tc>
      </w:tr>
      <w:tr>
        <w:tc>
          <w:tcPr>
            <w:tcW w:type="dxa" w:w="19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9"/>
                <w:szCs w:val="19"/>
              </w:rPr>
              <w:t xml:space="preserve">Données métier</w:t>
            </w:r>
          </w:p>
        </w:tc>
        <w:tc>
          <w:tcPr>
            <w:tcW w:type="dxa" w:w="25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9"/>
                <w:szCs w:val="19"/>
              </w:rPr>
              <w:t xml:space="preserve">C:\PARTAGES_YMMO</w:t>
            </w:r>
          </w:p>
        </w:tc>
        <w:tc>
          <w:tcPr>
            <w:tcW w:type="dxa" w:w="15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9"/>
                <w:szCs w:val="19"/>
              </w:rPr>
              <w:t xml:space="preserve">Quotidienne (nuit)</w:t>
            </w:r>
          </w:p>
        </w:tc>
        <w:tc>
          <w:tcPr>
            <w:tcW w:type="dxa" w:w="19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9"/>
                <w:szCs w:val="19"/>
              </w:rPr>
              <w:t xml:space="preserve">Volume dédié E:</w:t>
            </w:r>
          </w:p>
        </w:tc>
        <w:tc>
          <w:tcPr>
            <w:tcW w:type="dxa" w:w="122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9"/>
                <w:szCs w:val="19"/>
              </w:rPr>
              <w:t xml:space="preserve">Idem</w:t>
            </w:r>
          </w:p>
        </w:tc>
      </w:tr>
      <w:tr>
        <w:tc>
          <w:tcPr>
            <w:tcW w:type="dxa" w:w="19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9"/>
                <w:szCs w:val="19"/>
              </w:rPr>
              <w:t xml:space="preserve">Base de données web</w:t>
            </w:r>
          </w:p>
        </w:tc>
        <w:tc>
          <w:tcPr>
            <w:tcW w:type="dxa" w:w="25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9"/>
                <w:szCs w:val="19"/>
              </w:rPr>
              <w:t xml:space="preserve">Dump PostgreSQL (pg_dump)</w:t>
            </w:r>
          </w:p>
        </w:tc>
        <w:tc>
          <w:tcPr>
            <w:tcW w:type="dxa" w:w="15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9"/>
                <w:szCs w:val="19"/>
              </w:rPr>
              <w:t xml:space="preserve">Quotidienne</w:t>
            </w:r>
          </w:p>
        </w:tc>
        <w:tc>
          <w:tcPr>
            <w:tcW w:type="dxa" w:w="19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9"/>
                <w:szCs w:val="19"/>
              </w:rPr>
              <w:t xml:space="preserve">Dossier sauvegardé + copie hors VM</w:t>
            </w:r>
          </w:p>
        </w:tc>
        <w:tc>
          <w:tcPr>
            <w:tcW w:type="dxa" w:w="122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9"/>
                <w:szCs w:val="19"/>
              </w:rPr>
              <w:t xml:space="preserve">7 jours glissants</w:t>
            </w:r>
          </w:p>
        </w:tc>
      </w:tr>
      <w:tr>
        <w:tc>
          <w:tcPr>
            <w:tcW w:type="dxa" w:w="19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9"/>
                <w:szCs w:val="19"/>
              </w:rPr>
              <w:t xml:space="preserve">Configurations pfSense</w:t>
            </w:r>
          </w:p>
        </w:tc>
        <w:tc>
          <w:tcPr>
            <w:tcW w:type="dxa" w:w="25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9"/>
                <w:szCs w:val="19"/>
              </w:rPr>
              <w:t xml:space="preserve">Export XML (Diagnostics &gt; Backup &amp; Restore)</w:t>
            </w:r>
          </w:p>
        </w:tc>
        <w:tc>
          <w:tcPr>
            <w:tcW w:type="dxa" w:w="15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9"/>
                <w:szCs w:val="19"/>
              </w:rPr>
              <w:t xml:space="preserve">À chaque modification</w:t>
            </w:r>
          </w:p>
        </w:tc>
        <w:tc>
          <w:tcPr>
            <w:tcW w:type="dxa" w:w="19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9"/>
                <w:szCs w:val="19"/>
              </w:rPr>
              <w:t xml:space="preserve">Poste d'administration</w:t>
            </w:r>
          </w:p>
        </w:tc>
        <w:tc>
          <w:tcPr>
            <w:tcW w:type="dxa" w:w="122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9"/>
                <w:szCs w:val="19"/>
              </w:rPr>
              <w:t xml:space="preserve">3 dernières versions</w:t>
            </w:r>
          </w:p>
        </w:tc>
      </w:tr>
    </w:tbl>
    <w:p>
      <w:pPr>
        <w:spacing w:after="120"/>
      </w:pPr>
      <w:r>
        <w:t xml:space="preserve">Mise en œuvre maquette : fonctionnalité Sauvegarde Windows Server installée sur SRV-YMMO-AD, planification quotidienne incluant l'état du système (qui contient l'Active Directory) et le dossier des partages, vers un second disque virtuel dédié. La règle 3-2-1 (3 copies, 2 supports, 1 hors site) serait complétée en production par une externalisation chiffrée vers le cloud (cf. chapitre 8).</w:t>
      </w:r>
    </w:p>
    <w:p>
      <w:pPr>
        <w:spacing w:after="120"/>
      </w:pPr>
      <w:r>
        <w:t xml:space="preserve">Test de restauration : prévoir une restauration de fichier témoin avant l'oral pour démontrer la validité des sauvegardes.</w:t>
      </w:r>
    </w:p>
    <w:p>
      <w:pPr>
        <w:spacing w:after="240" w:before="120"/>
      </w:pPr>
      <w:r>
        <w:rPr>
          <w:i/>
          <w:iCs/>
          <w:color w:val="C0504D"/>
        </w:rPr>
        <w:t xml:space="preserve">[ Capture à insérer : console Sauvegarde Windows Server avec la planification active ]</w:t>
      </w:r>
    </w:p>
    <w:p>
      <w:pPr>
        <w:pStyle w:val="Heading2"/>
      </w:pPr>
      <w:r>
        <w:t xml:space="preserve">7.2 Supervision</w:t>
      </w:r>
    </w:p>
    <w:p>
      <w:pPr>
        <w:spacing w:after="120"/>
      </w:pPr>
      <w:r>
        <w:t xml:space="preserve">Proposition : déploiement d'un serveur Zabbix (open source, gratuit) sur une VM Linux dédiée au siège.</w:t>
      </w:r>
    </w:p>
    <w:p>
      <w:pPr>
        <w:pStyle w:val="ListParagraph"/>
        <w:numPr>
          <w:ilvl w:val="0"/>
          <w:numId w:val="2"/>
        </w:numPr>
        <w:spacing w:after="60"/>
      </w:pPr>
      <w:r>
        <w:t xml:space="preserve">Supervision des serveurs Windows via l'agent Zabbix : CPU, RAM, espace disque, services critiques (NTDS, DNS, DHCP, PostgreSQL, processus PM2).</w:t>
      </w:r>
    </w:p>
    <w:p>
      <w:pPr>
        <w:pStyle w:val="ListParagraph"/>
        <w:numPr>
          <w:ilvl w:val="0"/>
          <w:numId w:val="2"/>
        </w:numPr>
        <w:spacing w:after="60"/>
      </w:pPr>
      <w:r>
        <w:t xml:space="preserve">Supervision des pfSense via SNMP : état des interfaces, état des tunnels IPsec, bande passante.</w:t>
      </w:r>
    </w:p>
    <w:p>
      <w:pPr>
        <w:pStyle w:val="ListParagraph"/>
        <w:numPr>
          <w:ilvl w:val="0"/>
          <w:numId w:val="2"/>
        </w:numPr>
        <w:spacing w:after="60"/>
      </w:pPr>
      <w:r>
        <w:t xml:space="preserve">Vérification HTTP de la plateforme web (code 200 sur la page d'accueil et sur /health de l'API).</w:t>
      </w:r>
    </w:p>
    <w:p>
      <w:pPr>
        <w:pStyle w:val="ListParagraph"/>
        <w:numPr>
          <w:ilvl w:val="0"/>
          <w:numId w:val="2"/>
        </w:numPr>
        <w:spacing w:after="60"/>
      </w:pPr>
      <w:r>
        <w:t xml:space="preserve">Alerting par e-mail vers l'équipe IT en cas de seuil dépassé ou de tunnel VPN tombé.</w:t>
      </w:r>
    </w:p>
    <w:p>
      <w:pPr>
        <w:spacing w:after="120"/>
      </w:pPr>
      <w:r>
        <w:t xml:space="preserve">Alternative : Centreon (interface française, adapté aux PME) ou solution SaaS si l'option cloud est retenue.</w:t>
      </w:r>
    </w:p>
    <w:p>
      <w:r>
        <w:br w:type="page"/>
      </w:r>
    </w:p>
    <w:p>
      <w:pPr>
        <w:pStyle w:val="Heading1"/>
      </w:pPr>
      <w:r>
        <w:t xml:space="preserve">8. Proposition d'une solution Cloud</w:t>
      </w:r>
    </w:p>
    <w:p>
      <w:pPr>
        <w:pStyle w:val="Heading2"/>
      </w:pPr>
      <w:r>
        <w:t xml:space="preserve">8.1 Scénario retenu : cloud hybride Azure</w:t>
      </w:r>
    </w:p>
    <w:p>
      <w:pPr>
        <w:spacing w:after="120"/>
      </w:pPr>
      <w:r>
        <w:t xml:space="preserve">L'infrastructure d'identité (Active Directory) et les données de proximité restent au siège ; la plateforme web, exposée aux clients finaux, est migrée vers Microsoft Azure pour gagner en disponibilité et en scalabilité.</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900"/>
        <w:gridCol w:w="3200"/>
        <w:gridCol w:w="2926"/>
      </w:tblGrid>
      <w:tr>
        <w:trPr>
          <w:tblHeader/>
        </w:trPr>
        <w:tc>
          <w:tcPr>
            <w:tcW w:type="dxa" w:w="290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r>
              <w:rPr>
                <w:b/>
                <w:bCs/>
                <w:color w:val="FFFFFF"/>
                <w:sz w:val="19"/>
                <w:szCs w:val="19"/>
              </w:rPr>
              <w:t xml:space="preserve">Composant on-premise</w:t>
            </w:r>
          </w:p>
        </w:tc>
        <w:tc>
          <w:tcPr>
            <w:tcW w:type="dxa" w:w="320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r>
              <w:rPr>
                <w:b/>
                <w:bCs/>
                <w:color w:val="FFFFFF"/>
                <w:sz w:val="19"/>
                <w:szCs w:val="19"/>
              </w:rPr>
              <w:t xml:space="preserve">Service Azure cible</w:t>
            </w:r>
          </w:p>
        </w:tc>
        <w:tc>
          <w:tcPr>
            <w:tcW w:type="dxa" w:w="2926"/>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r>
              <w:rPr>
                <w:b/>
                <w:bCs/>
                <w:color w:val="FFFFFF"/>
                <w:sz w:val="19"/>
                <w:szCs w:val="19"/>
              </w:rPr>
              <w:t xml:space="preserve">Bénéfice</w:t>
            </w:r>
          </w:p>
        </w:tc>
      </w:tr>
      <w:tr>
        <w:tc>
          <w:tcPr>
            <w:tcW w:type="dxa" w:w="29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9"/>
                <w:szCs w:val="19"/>
              </w:rPr>
              <w:t xml:space="preserve">SRV-YMMO-WEB (frontend + API)</w:t>
            </w:r>
          </w:p>
        </w:tc>
        <w:tc>
          <w:tcPr>
            <w:tcW w:type="dxa" w:w="3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9"/>
                <w:szCs w:val="19"/>
              </w:rPr>
              <w:t xml:space="preserve">Azure App Service (2 instances, plan B2)</w:t>
            </w:r>
          </w:p>
        </w:tc>
        <w:tc>
          <w:tcPr>
            <w:tcW w:type="dxa" w:w="292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9"/>
                <w:szCs w:val="19"/>
              </w:rPr>
              <w:t xml:space="preserve">Haute disponibilité, scaling automatique, certificats TLS gérés</w:t>
            </w:r>
          </w:p>
        </w:tc>
      </w:tr>
      <w:tr>
        <w:tc>
          <w:tcPr>
            <w:tcW w:type="dxa" w:w="29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9"/>
                <w:szCs w:val="19"/>
              </w:rPr>
              <w:t xml:space="preserve">PostgreSQL local</w:t>
            </w:r>
          </w:p>
        </w:tc>
        <w:tc>
          <w:tcPr>
            <w:tcW w:type="dxa" w:w="3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9"/>
                <w:szCs w:val="19"/>
              </w:rPr>
              <w:t xml:space="preserve">Azure Database for PostgreSQL Flexible Server</w:t>
            </w:r>
          </w:p>
        </w:tc>
        <w:tc>
          <w:tcPr>
            <w:tcW w:type="dxa" w:w="292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9"/>
                <w:szCs w:val="19"/>
              </w:rPr>
              <w:t xml:space="preserve">Sauvegardes automatiques, géo-réplication possible</w:t>
            </w:r>
          </w:p>
        </w:tc>
      </w:tr>
      <w:tr>
        <w:tc>
          <w:tcPr>
            <w:tcW w:type="dxa" w:w="29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9"/>
                <w:szCs w:val="19"/>
              </w:rPr>
              <w:t xml:space="preserve">Fichiers partagés (option)</w:t>
            </w:r>
          </w:p>
        </w:tc>
        <w:tc>
          <w:tcPr>
            <w:tcW w:type="dxa" w:w="3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9"/>
                <w:szCs w:val="19"/>
              </w:rPr>
              <w:t xml:space="preserve">Azure Files + Azure File Sync</w:t>
            </w:r>
          </w:p>
        </w:tc>
        <w:tc>
          <w:tcPr>
            <w:tcW w:type="dxa" w:w="292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9"/>
                <w:szCs w:val="19"/>
              </w:rPr>
              <w:t xml:space="preserve">Cache local au siège, externalisation transparente</w:t>
            </w:r>
          </w:p>
        </w:tc>
      </w:tr>
      <w:tr>
        <w:tc>
          <w:tcPr>
            <w:tcW w:type="dxa" w:w="29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9"/>
                <w:szCs w:val="19"/>
              </w:rPr>
              <w:t xml:space="preserve">Sauvegardes</w:t>
            </w:r>
          </w:p>
        </w:tc>
        <w:tc>
          <w:tcPr>
            <w:tcW w:type="dxa" w:w="3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9"/>
                <w:szCs w:val="19"/>
              </w:rPr>
              <w:t xml:space="preserve">Azure Backup (coffre Recovery Services)</w:t>
            </w:r>
          </w:p>
        </w:tc>
        <w:tc>
          <w:tcPr>
            <w:tcW w:type="dxa" w:w="292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9"/>
                <w:szCs w:val="19"/>
              </w:rPr>
              <w:t xml:space="preserve">Copie hors site chiffrée, conformité 3-2-1</w:t>
            </w:r>
          </w:p>
        </w:tc>
      </w:tr>
      <w:tr>
        <w:tc>
          <w:tcPr>
            <w:tcW w:type="dxa" w:w="29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9"/>
                <w:szCs w:val="19"/>
              </w:rPr>
              <w:t xml:space="preserve">Liaison réseau</w:t>
            </w:r>
          </w:p>
        </w:tc>
        <w:tc>
          <w:tcPr>
            <w:tcW w:type="dxa" w:w="3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9"/>
                <w:szCs w:val="19"/>
              </w:rPr>
              <w:t xml:space="preserve">VPN Gateway (S2S vers le pfSense du siège)</w:t>
            </w:r>
          </w:p>
        </w:tc>
        <w:tc>
          <w:tcPr>
            <w:tcW w:type="dxa" w:w="292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9"/>
                <w:szCs w:val="19"/>
              </w:rPr>
              <w:t xml:space="preserve">Intégration au plan d'adressage existant</w:t>
            </w:r>
          </w:p>
        </w:tc>
      </w:tr>
    </w:tbl>
    <w:p>
      <w:pPr>
        <w:pStyle w:val="Heading2"/>
      </w:pPr>
      <w:r>
        <w:t xml:space="preserve">8.2 Estimation budgétaire mensuelle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400"/>
        <w:gridCol w:w="2800"/>
        <w:gridCol w:w="2826"/>
      </w:tblGrid>
      <w:tr>
        <w:trPr>
          <w:tblHeader/>
        </w:trPr>
        <w:tc>
          <w:tcPr>
            <w:tcW w:type="dxa" w:w="340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r>
              <w:rPr>
                <w:b/>
                <w:bCs/>
                <w:color w:val="FFFFFF"/>
                <w:sz w:val="19"/>
                <w:szCs w:val="19"/>
              </w:rPr>
              <w:t xml:space="preserve">Service</w:t>
            </w:r>
          </w:p>
        </w:tc>
        <w:tc>
          <w:tcPr>
            <w:tcW w:type="dxa" w:w="280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r>
              <w:rPr>
                <w:b/>
                <w:bCs/>
                <w:color w:val="FFFFFF"/>
                <w:sz w:val="19"/>
                <w:szCs w:val="19"/>
              </w:rPr>
              <w:t xml:space="preserve">Dimensionnement</w:t>
            </w:r>
          </w:p>
        </w:tc>
        <w:tc>
          <w:tcPr>
            <w:tcW w:type="dxa" w:w="2826"/>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r>
              <w:rPr>
                <w:b/>
                <w:bCs/>
                <w:color w:val="FFFFFF"/>
                <w:sz w:val="19"/>
                <w:szCs w:val="19"/>
              </w:rPr>
              <w:t xml:space="preserve">Coût mensuel estimé</w:t>
            </w:r>
          </w:p>
        </w:tc>
      </w:tr>
      <w:tr>
        <w:tc>
          <w:tcPr>
            <w:tcW w:type="dxa" w:w="3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9"/>
                <w:szCs w:val="19"/>
              </w:rPr>
              <w:t xml:space="preserve">App Service plan B2</w:t>
            </w:r>
          </w:p>
        </w:tc>
        <w:tc>
          <w:tcPr>
            <w:tcW w:type="dxa" w:w="2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9"/>
                <w:szCs w:val="19"/>
              </w:rPr>
              <w:t xml:space="preserve">2 instances</w:t>
            </w:r>
          </w:p>
        </w:tc>
        <w:tc>
          <w:tcPr>
            <w:tcW w:type="dxa" w:w="282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9"/>
                <w:szCs w:val="19"/>
              </w:rPr>
              <w:t xml:space="preserve">≈ 100 €</w:t>
            </w:r>
          </w:p>
        </w:tc>
      </w:tr>
      <w:tr>
        <w:tc>
          <w:tcPr>
            <w:tcW w:type="dxa" w:w="3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9"/>
                <w:szCs w:val="19"/>
              </w:rPr>
              <w:t xml:space="preserve">PostgreSQL Flexible Server</w:t>
            </w:r>
          </w:p>
        </w:tc>
        <w:tc>
          <w:tcPr>
            <w:tcW w:type="dxa" w:w="2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9"/>
                <w:szCs w:val="19"/>
              </w:rPr>
              <w:t xml:space="preserve">B2s, 64 Go</w:t>
            </w:r>
          </w:p>
        </w:tc>
        <w:tc>
          <w:tcPr>
            <w:tcW w:type="dxa" w:w="282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9"/>
                <w:szCs w:val="19"/>
              </w:rPr>
              <w:t xml:space="preserve">≈ 60 €</w:t>
            </w:r>
          </w:p>
        </w:tc>
      </w:tr>
      <w:tr>
        <w:tc>
          <w:tcPr>
            <w:tcW w:type="dxa" w:w="3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9"/>
                <w:szCs w:val="19"/>
              </w:rPr>
              <w:t xml:space="preserve">VPN Gateway</w:t>
            </w:r>
          </w:p>
        </w:tc>
        <w:tc>
          <w:tcPr>
            <w:tcW w:type="dxa" w:w="2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9"/>
                <w:szCs w:val="19"/>
              </w:rPr>
              <w:t xml:space="preserve">VpnGw1</w:t>
            </w:r>
          </w:p>
        </w:tc>
        <w:tc>
          <w:tcPr>
            <w:tcW w:type="dxa" w:w="282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9"/>
                <w:szCs w:val="19"/>
              </w:rPr>
              <w:t xml:space="preserve">≈ 120 €</w:t>
            </w:r>
          </w:p>
        </w:tc>
      </w:tr>
      <w:tr>
        <w:tc>
          <w:tcPr>
            <w:tcW w:type="dxa" w:w="3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9"/>
                <w:szCs w:val="19"/>
              </w:rPr>
              <w:t xml:space="preserve">Azure Backup + stockage</w:t>
            </w:r>
          </w:p>
        </w:tc>
        <w:tc>
          <w:tcPr>
            <w:tcW w:type="dxa" w:w="2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9"/>
                <w:szCs w:val="19"/>
              </w:rPr>
              <w:t xml:space="preserve">200 Go</w:t>
            </w:r>
          </w:p>
        </w:tc>
        <w:tc>
          <w:tcPr>
            <w:tcW w:type="dxa" w:w="282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9"/>
                <w:szCs w:val="19"/>
              </w:rPr>
              <w:t xml:space="preserve">≈ 25 €</w:t>
            </w:r>
          </w:p>
        </w:tc>
      </w:tr>
      <w:tr>
        <w:tc>
          <w:tcPr>
            <w:tcW w:type="dxa" w:w="3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9"/>
                <w:szCs w:val="19"/>
              </w:rPr>
              <w:t xml:space="preserve">Total indicatif</w:t>
            </w:r>
          </w:p>
        </w:tc>
        <w:tc>
          <w:tcPr>
            <w:tcW w:type="dxa" w:w="2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9"/>
                <w:szCs w:val="19"/>
              </w:rPr>
              <w:t xml:space="preserve"/>
            </w:r>
          </w:p>
        </w:tc>
        <w:tc>
          <w:tcPr>
            <w:tcW w:type="dxa" w:w="282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9"/>
                <w:szCs w:val="19"/>
              </w:rPr>
              <w:t xml:space="preserve">≈ 305 € / mois</w:t>
            </w:r>
          </w:p>
        </w:tc>
      </w:tr>
    </w:tbl>
    <w:p>
      <w:pPr>
        <w:spacing w:after="120"/>
      </w:pPr>
      <w:r>
        <w:t xml:space="preserve">Tarifs indicatifs publics Azure région France Centre, à affiner avec le calculateur Azure au moment du déploiement. Le scénario 100 % cloud (incluant Entra ID / Azure AD DS pour remplacer le contrôleur de domaine) a été écarté à ce stade pour maîtriser les coûts et conserver l'authentification locale en cas de coupure Internet.</w:t>
      </w:r>
    </w:p>
    <w:p>
      <w:r>
        <w:br w:type="page"/>
      </w:r>
    </w:p>
    <w:p>
      <w:pPr>
        <w:pStyle w:val="Heading1"/>
      </w:pPr>
      <w:r>
        <w:t xml:space="preserve">9. Guide de déploiement de la maquette</w:t>
      </w:r>
    </w:p>
    <w:p>
      <w:pPr>
        <w:spacing w:after="120"/>
      </w:pPr>
      <w:r>
        <w:t xml:space="preserve">La maquette reproduit le siège, une agence représentative et le lien Internet sous VMware Workstation.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100"/>
        <w:gridCol w:w="1900"/>
        <w:gridCol w:w="1400"/>
        <w:gridCol w:w="2200"/>
        <w:gridCol w:w="1426"/>
      </w:tblGrid>
      <w:tr>
        <w:trPr>
          <w:tblHeader/>
        </w:trPr>
        <w:tc>
          <w:tcPr>
            <w:tcW w:type="dxa" w:w="210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r>
              <w:rPr>
                <w:b/>
                <w:bCs/>
                <w:color w:val="FFFFFF"/>
                <w:sz w:val="19"/>
                <w:szCs w:val="19"/>
              </w:rPr>
              <w:t xml:space="preserve">VM</w:t>
            </w:r>
          </w:p>
        </w:tc>
        <w:tc>
          <w:tcPr>
            <w:tcW w:type="dxa" w:w="190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r>
              <w:rPr>
                <w:b/>
                <w:bCs/>
                <w:color w:val="FFFFFF"/>
                <w:sz w:val="19"/>
                <w:szCs w:val="19"/>
              </w:rPr>
              <w:t xml:space="preserve">OS</w:t>
            </w:r>
          </w:p>
        </w:tc>
        <w:tc>
          <w:tcPr>
            <w:tcW w:type="dxa" w:w="140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r>
              <w:rPr>
                <w:b/>
                <w:bCs/>
                <w:color w:val="FFFFFF"/>
                <w:sz w:val="19"/>
                <w:szCs w:val="19"/>
              </w:rPr>
              <w:t xml:space="preserve">vCPU / RAM</w:t>
            </w:r>
          </w:p>
        </w:tc>
        <w:tc>
          <w:tcPr>
            <w:tcW w:type="dxa" w:w="220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r>
              <w:rPr>
                <w:b/>
                <w:bCs/>
                <w:color w:val="FFFFFF"/>
                <w:sz w:val="19"/>
                <w:szCs w:val="19"/>
              </w:rPr>
              <w:t xml:space="preserve">Réseaux VMware</w:t>
            </w:r>
          </w:p>
        </w:tc>
        <w:tc>
          <w:tcPr>
            <w:tcW w:type="dxa" w:w="1426"/>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r>
              <w:rPr>
                <w:b/>
                <w:bCs/>
                <w:color w:val="FFFFFF"/>
                <w:sz w:val="19"/>
                <w:szCs w:val="19"/>
              </w:rPr>
              <w:t xml:space="preserve">Rôle</w:t>
            </w:r>
          </w:p>
        </w:tc>
      </w:tr>
      <w:tr>
        <w:tc>
          <w:tcPr>
            <w:tcW w:type="dxa" w:w="21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9"/>
                <w:szCs w:val="19"/>
              </w:rPr>
              <w:t xml:space="preserve">SRV-YMMO-AD</w:t>
            </w:r>
          </w:p>
        </w:tc>
        <w:tc>
          <w:tcPr>
            <w:tcW w:type="dxa" w:w="19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9"/>
                <w:szCs w:val="19"/>
              </w:rPr>
              <w:t xml:space="preserve">Windows Server 2022</w:t>
            </w:r>
          </w:p>
        </w:tc>
        <w:tc>
          <w:tcPr>
            <w:tcW w:type="dxa" w:w="1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9"/>
                <w:szCs w:val="19"/>
              </w:rPr>
              <w:t xml:space="preserve">1 vCPU / 2 Go</w:t>
            </w:r>
          </w:p>
        </w:tc>
        <w:tc>
          <w:tcPr>
            <w:tcW w:type="dxa" w:w="2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9"/>
                <w:szCs w:val="19"/>
              </w:rPr>
              <w:t xml:space="preserve">LAN Siège (réseau privé virtuel)</w:t>
            </w:r>
          </w:p>
        </w:tc>
        <w:tc>
          <w:tcPr>
            <w:tcW w:type="dxa" w:w="142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9"/>
                <w:szCs w:val="19"/>
              </w:rPr>
              <w:t xml:space="preserve">AD, DNS, DHCP, fichiers, sauvegarde</w:t>
            </w:r>
          </w:p>
        </w:tc>
      </w:tr>
      <w:tr>
        <w:tc>
          <w:tcPr>
            <w:tcW w:type="dxa" w:w="21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9"/>
                <w:szCs w:val="19"/>
              </w:rPr>
              <w:t xml:space="preserve">SRV-YMMO-WEB</w:t>
            </w:r>
          </w:p>
        </w:tc>
        <w:tc>
          <w:tcPr>
            <w:tcW w:type="dxa" w:w="19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9"/>
                <w:szCs w:val="19"/>
              </w:rPr>
              <w:t xml:space="preserve">Windows Server 2019</w:t>
            </w:r>
          </w:p>
        </w:tc>
        <w:tc>
          <w:tcPr>
            <w:tcW w:type="dxa" w:w="1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9"/>
                <w:szCs w:val="19"/>
              </w:rPr>
              <w:t xml:space="preserve">2 vCPU / 2 Go</w:t>
            </w:r>
          </w:p>
        </w:tc>
        <w:tc>
          <w:tcPr>
            <w:tcW w:type="dxa" w:w="2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9"/>
                <w:szCs w:val="19"/>
              </w:rPr>
              <w:t xml:space="preserve">LAN Siège</w:t>
            </w:r>
          </w:p>
        </w:tc>
        <w:tc>
          <w:tcPr>
            <w:tcW w:type="dxa" w:w="142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9"/>
                <w:szCs w:val="19"/>
              </w:rPr>
              <w:t xml:space="preserve">Plateforme web + BDD + poste de test</w:t>
            </w:r>
          </w:p>
        </w:tc>
      </w:tr>
      <w:tr>
        <w:tc>
          <w:tcPr>
            <w:tcW w:type="dxa" w:w="21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9"/>
                <w:szCs w:val="19"/>
              </w:rPr>
              <w:t xml:space="preserve">SRV-PFSENSE-GW</w:t>
            </w:r>
          </w:p>
        </w:tc>
        <w:tc>
          <w:tcPr>
            <w:tcW w:type="dxa" w:w="19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9"/>
                <w:szCs w:val="19"/>
              </w:rPr>
              <w:t xml:space="preserve">pfSense 2.7.2</w:t>
            </w:r>
          </w:p>
        </w:tc>
        <w:tc>
          <w:tcPr>
            <w:tcW w:type="dxa" w:w="1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9"/>
                <w:szCs w:val="19"/>
              </w:rPr>
              <w:t xml:space="preserve">1 vCPU / 676 Mo</w:t>
            </w:r>
          </w:p>
        </w:tc>
        <w:tc>
          <w:tcPr>
            <w:tcW w:type="dxa" w:w="2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9"/>
                <w:szCs w:val="19"/>
              </w:rPr>
              <w:t xml:space="preserve">WAN: NAT — LAN: LAN Siège</w:t>
            </w:r>
          </w:p>
        </w:tc>
        <w:tc>
          <w:tcPr>
            <w:tcW w:type="dxa" w:w="142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9"/>
                <w:szCs w:val="19"/>
              </w:rPr>
              <w:t xml:space="preserve">Pare-feu / VPN siège</w:t>
            </w:r>
          </w:p>
        </w:tc>
      </w:tr>
      <w:tr>
        <w:tc>
          <w:tcPr>
            <w:tcW w:type="dxa" w:w="21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9"/>
                <w:szCs w:val="19"/>
              </w:rPr>
              <w:t xml:space="preserve">RTR-YMMO-AGENCE</w:t>
            </w:r>
          </w:p>
        </w:tc>
        <w:tc>
          <w:tcPr>
            <w:tcW w:type="dxa" w:w="19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9"/>
                <w:szCs w:val="19"/>
              </w:rPr>
              <w:t xml:space="preserve">pfSense 2.7.2</w:t>
            </w:r>
          </w:p>
        </w:tc>
        <w:tc>
          <w:tcPr>
            <w:tcW w:type="dxa" w:w="1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9"/>
                <w:szCs w:val="19"/>
              </w:rPr>
              <w:t xml:space="preserve">1 vCPU / 676 Mo</w:t>
            </w:r>
          </w:p>
        </w:tc>
        <w:tc>
          <w:tcPr>
            <w:tcW w:type="dxa" w:w="2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9"/>
                <w:szCs w:val="19"/>
              </w:rPr>
              <w:t xml:space="preserve">WAN: NAT — LAN: LAN Agence (réseau privé distinct)</w:t>
            </w:r>
          </w:p>
        </w:tc>
        <w:tc>
          <w:tcPr>
            <w:tcW w:type="dxa" w:w="142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9"/>
                <w:szCs w:val="19"/>
              </w:rPr>
              <w:t xml:space="preserve">Pare-feu / VPN agence 01</w:t>
            </w:r>
          </w:p>
        </w:tc>
      </w:tr>
    </w:tbl>
    <w:p>
      <w:pPr>
        <w:pStyle w:val="Heading2"/>
      </w:pPr>
      <w:r>
        <w:t xml:space="preserve">9.1 Ordre de déploiement</w:t>
      </w:r>
    </w:p>
    <w:p>
      <w:pPr>
        <w:pStyle w:val="ListParagraph"/>
        <w:numPr>
          <w:ilvl w:val="0"/>
          <w:numId w:val="3"/>
        </w:numPr>
        <w:spacing w:after="60"/>
      </w:pPr>
      <w:r>
        <w:t xml:space="preserve">Créer les deux réseaux privés virtuels VMware (LAN siège, LAN agence) ; le réseau NAT intégré joue le rôle d'Internet.</w:t>
      </w:r>
    </w:p>
    <w:p>
      <w:pPr>
        <w:pStyle w:val="ListParagraph"/>
        <w:numPr>
          <w:ilvl w:val="0"/>
          <w:numId w:val="3"/>
        </w:numPr>
        <w:spacing w:after="60"/>
      </w:pPr>
      <w:r>
        <w:t xml:space="preserve">Déployer SRV-PFSENSE-GW : affectation des interfaces, IP LAN 10.0.0.254.</w:t>
      </w:r>
    </w:p>
    <w:p>
      <w:pPr>
        <w:pStyle w:val="ListParagraph"/>
        <w:numPr>
          <w:ilvl w:val="0"/>
          <w:numId w:val="3"/>
        </w:numPr>
        <w:spacing w:after="60"/>
      </w:pPr>
      <w:r>
        <w:t xml:space="preserve">Déployer SRV-YMMO-AD (IP statique, promotion AD, DNS, DHCP), puis créer OU, groupes, utilisateurs, partages et GPO.</w:t>
      </w:r>
    </w:p>
    <w:p>
      <w:pPr>
        <w:pStyle w:val="ListParagraph"/>
        <w:numPr>
          <w:ilvl w:val="0"/>
          <w:numId w:val="3"/>
        </w:numPr>
        <w:spacing w:after="60"/>
      </w:pPr>
      <w:r>
        <w:t xml:space="preserve">Déployer SRV-YMMO-WEB, joindre le domaine, installer la pile applicative (cf. 6.2).</w:t>
      </w:r>
    </w:p>
    <w:p>
      <w:pPr>
        <w:pStyle w:val="ListParagraph"/>
        <w:numPr>
          <w:ilvl w:val="0"/>
          <w:numId w:val="3"/>
        </w:numPr>
        <w:spacing w:after="60"/>
      </w:pPr>
      <w:r>
        <w:t xml:space="preserve">Cloner le pfSense en RTR-YMMO-AGENCE : réaffecter le LAN (172.16.10.254), renommer l'hôte, activer le DHCP local.</w:t>
      </w:r>
    </w:p>
    <w:p>
      <w:pPr>
        <w:pStyle w:val="ListParagraph"/>
        <w:numPr>
          <w:ilvl w:val="0"/>
          <w:numId w:val="3"/>
        </w:numPr>
        <w:spacing w:after="60"/>
      </w:pPr>
      <w:r>
        <w:t xml:space="preserve">Configurer le VPN IPsec des deux côtés (cf. 6.3 / 6.4) et valider le tunnel (ESTABLISHED + ping inter-LAN).</w:t>
      </w:r>
    </w:p>
    <w:p>
      <w:pPr>
        <w:pStyle w:val="ListParagraph"/>
        <w:numPr>
          <w:ilvl w:val="0"/>
          <w:numId w:val="3"/>
        </w:numPr>
        <w:spacing w:after="60"/>
      </w:pPr>
      <w:r>
        <w:t xml:space="preserve">Configurer la sauvegarde planifiée (cf. 7.1).</w:t>
      </w:r>
    </w:p>
    <w:p>
      <w:pPr>
        <w:pStyle w:val="Heading2"/>
      </w:pPr>
      <w:r>
        <w:t xml:space="preserve">9.2 Procédure de validation de bout en bout</w:t>
      </w:r>
    </w:p>
    <w:p>
      <w:pPr>
        <w:pStyle w:val="ListParagraph"/>
        <w:numPr>
          <w:ilvl w:val="0"/>
          <w:numId w:val="2"/>
        </w:numPr>
        <w:spacing w:after="60"/>
      </w:pPr>
      <w:r>
        <w:t xml:space="preserve">Status &gt; IPsec sur le siège : tunnel ESTABLISHED.</w:t>
      </w:r>
    </w:p>
    <w:p>
      <w:pPr>
        <w:pStyle w:val="ListParagraph"/>
        <w:numPr>
          <w:ilvl w:val="0"/>
          <w:numId w:val="2"/>
        </w:numPr>
        <w:spacing w:after="60"/>
      </w:pPr>
      <w:r>
        <w:t xml:space="preserve">Ping 172.16.10.254 depuis le siège (source LAN) et réciproquement.</w:t>
      </w:r>
    </w:p>
    <w:p>
      <w:pPr>
        <w:pStyle w:val="ListParagraph"/>
        <w:numPr>
          <w:ilvl w:val="0"/>
          <w:numId w:val="2"/>
        </w:numPr>
        <w:spacing w:after="60"/>
      </w:pPr>
      <w:r>
        <w:t xml:space="preserve">Depuis le LAN agence : accès à la plateforme web hébergée au siège (http://10.0.0.20:3000) à travers le tunnel.</w:t>
      </w:r>
    </w:p>
    <w:p>
      <w:pPr>
        <w:pStyle w:val="ListParagraph"/>
        <w:numPr>
          <w:ilvl w:val="0"/>
          <w:numId w:val="2"/>
        </w:numPr>
        <w:spacing w:after="60"/>
      </w:pPr>
      <w:r>
        <w:t xml:space="preserve">Ouverture de session domaine avec un utilisateur de pôle et vérification de la matrice des droits sur les partages.</w:t>
      </w:r>
    </w:p>
    <w:p>
      <w:r>
        <w:br w:type="page"/>
      </w:r>
    </w:p>
    <w:p>
      <w:pPr>
        <w:pStyle w:val="Heading1"/>
      </w:pPr>
      <w:r>
        <w:t xml:space="preserve">10. Liste du matériel et budgétisation</w:t>
      </w:r>
    </w:p>
    <w:p>
      <w:pPr>
        <w:spacing w:after="120"/>
      </w:pPr>
      <w:r>
        <w:t xml:space="preserve">Le chiffrage détaillé (quantités, prix unitaires publics, formules de calcul) est fourni dans le classeur Budget_Materiel_Ymmo.xlsx joint à ce dossier. Synthèse :</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900"/>
        <w:gridCol w:w="3700"/>
        <w:gridCol w:w="2426"/>
      </w:tblGrid>
      <w:tr>
        <w:trPr>
          <w:tblHeader/>
        </w:trPr>
        <w:tc>
          <w:tcPr>
            <w:tcW w:type="dxa" w:w="290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r>
              <w:rPr>
                <w:b/>
                <w:bCs/>
                <w:color w:val="FFFFFF"/>
                <w:sz w:val="19"/>
                <w:szCs w:val="19"/>
              </w:rPr>
              <w:t xml:space="preserve">Poste de dépense</w:t>
            </w:r>
          </w:p>
        </w:tc>
        <w:tc>
          <w:tcPr>
            <w:tcW w:type="dxa" w:w="370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r>
              <w:rPr>
                <w:b/>
                <w:bCs/>
                <w:color w:val="FFFFFF"/>
                <w:sz w:val="19"/>
                <w:szCs w:val="19"/>
              </w:rPr>
              <w:t xml:space="preserve">Contenu</w:t>
            </w:r>
          </w:p>
        </w:tc>
        <w:tc>
          <w:tcPr>
            <w:tcW w:type="dxa" w:w="2426"/>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r>
              <w:rPr>
                <w:b/>
                <w:bCs/>
                <w:color w:val="FFFFFF"/>
                <w:sz w:val="19"/>
                <w:szCs w:val="19"/>
              </w:rPr>
              <w:t xml:space="preserve">Montant estimé HT</w:t>
            </w:r>
          </w:p>
        </w:tc>
      </w:tr>
      <w:tr>
        <w:tc>
          <w:tcPr>
            <w:tcW w:type="dxa" w:w="29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9"/>
                <w:szCs w:val="19"/>
              </w:rPr>
              <w:t xml:space="preserve">Serveurs &amp; stockage siège</w:t>
            </w:r>
          </w:p>
        </w:tc>
        <w:tc>
          <w:tcPr>
            <w:tcW w:type="dxa" w:w="37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9"/>
                <w:szCs w:val="19"/>
              </w:rPr>
              <w:t xml:space="preserve">2 serveurs rack, onduleur, NAS de sauvegarde</w:t>
            </w:r>
          </w:p>
        </w:tc>
        <w:tc>
          <w:tcPr>
            <w:tcW w:type="dxa" w:w="242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9"/>
                <w:szCs w:val="19"/>
              </w:rPr>
              <w:t xml:space="preserve">≈ 12 400 €</w:t>
            </w:r>
          </w:p>
        </w:tc>
      </w:tr>
      <w:tr>
        <w:tc>
          <w:tcPr>
            <w:tcW w:type="dxa" w:w="29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9"/>
                <w:szCs w:val="19"/>
              </w:rPr>
              <w:t xml:space="preserve">Réseau &amp; sécurité</w:t>
            </w:r>
          </w:p>
        </w:tc>
        <w:tc>
          <w:tcPr>
            <w:tcW w:type="dxa" w:w="37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9"/>
                <w:szCs w:val="19"/>
              </w:rPr>
              <w:t xml:space="preserve">13 pare-feux (siège + agences), switchs, câblage</w:t>
            </w:r>
          </w:p>
        </w:tc>
        <w:tc>
          <w:tcPr>
            <w:tcW w:type="dxa" w:w="242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9"/>
                <w:szCs w:val="19"/>
              </w:rPr>
              <w:t xml:space="preserve">≈ 11 950 €</w:t>
            </w:r>
          </w:p>
        </w:tc>
      </w:tr>
      <w:tr>
        <w:tc>
          <w:tcPr>
            <w:tcW w:type="dxa" w:w="29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9"/>
                <w:szCs w:val="19"/>
              </w:rPr>
              <w:t xml:space="preserve">Postes de travail</w:t>
            </w:r>
          </w:p>
        </w:tc>
        <w:tc>
          <w:tcPr>
            <w:tcW w:type="dxa" w:w="37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9"/>
                <w:szCs w:val="19"/>
              </w:rPr>
              <w:t xml:space="preserve">30 postes siège + 60 postes agences, écrans</w:t>
            </w:r>
          </w:p>
        </w:tc>
        <w:tc>
          <w:tcPr>
            <w:tcW w:type="dxa" w:w="242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9"/>
                <w:szCs w:val="19"/>
              </w:rPr>
              <w:t xml:space="preserve">≈ 63 000 €</w:t>
            </w:r>
          </w:p>
        </w:tc>
      </w:tr>
      <w:tr>
        <w:tc>
          <w:tcPr>
            <w:tcW w:type="dxa" w:w="29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9"/>
                <w:szCs w:val="19"/>
              </w:rPr>
              <w:t xml:space="preserve">Impression</w:t>
            </w:r>
          </w:p>
        </w:tc>
        <w:tc>
          <w:tcPr>
            <w:tcW w:type="dxa" w:w="37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9"/>
                <w:szCs w:val="19"/>
              </w:rPr>
              <w:t xml:space="preserve">13 multifonctions laser</w:t>
            </w:r>
          </w:p>
        </w:tc>
        <w:tc>
          <w:tcPr>
            <w:tcW w:type="dxa" w:w="242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9"/>
                <w:szCs w:val="19"/>
              </w:rPr>
              <w:t xml:space="preserve">≈ 6 500 €</w:t>
            </w:r>
          </w:p>
        </w:tc>
      </w:tr>
      <w:tr>
        <w:tc>
          <w:tcPr>
            <w:tcW w:type="dxa" w:w="29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9"/>
                <w:szCs w:val="19"/>
              </w:rPr>
              <w:t xml:space="preserve">Licences</w:t>
            </w:r>
          </w:p>
        </w:tc>
        <w:tc>
          <w:tcPr>
            <w:tcW w:type="dxa" w:w="37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9"/>
                <w:szCs w:val="19"/>
              </w:rPr>
              <w:t xml:space="preserve">Windows Server + 90 CAL, divers</w:t>
            </w:r>
          </w:p>
        </w:tc>
        <w:tc>
          <w:tcPr>
            <w:tcW w:type="dxa" w:w="242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9"/>
                <w:szCs w:val="19"/>
              </w:rPr>
              <w:t xml:space="preserve">≈ 6 150 €</w:t>
            </w:r>
          </w:p>
        </w:tc>
      </w:tr>
      <w:tr>
        <w:tc>
          <w:tcPr>
            <w:tcW w:type="dxa" w:w="29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9"/>
                <w:szCs w:val="19"/>
              </w:rPr>
              <w:t xml:space="preserve">Total investissement</w:t>
            </w:r>
          </w:p>
        </w:tc>
        <w:tc>
          <w:tcPr>
            <w:tcW w:type="dxa" w:w="37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9"/>
                <w:szCs w:val="19"/>
              </w:rPr>
              <w:t xml:space="preserve"/>
            </w:r>
          </w:p>
        </w:tc>
        <w:tc>
          <w:tcPr>
            <w:tcW w:type="dxa" w:w="242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9"/>
                <w:szCs w:val="19"/>
              </w:rPr>
              <w:t xml:space="preserve">≈ 100 000 € HT</w:t>
            </w:r>
          </w:p>
        </w:tc>
      </w:tr>
    </w:tbl>
    <w:p>
      <w:pPr>
        <w:spacing w:after="120"/>
      </w:pPr>
      <w:r>
        <w:t xml:space="preserve">S'y ajoutent les coûts récurrents : accès Internet fibre pro par site, abonnement cloud (cf. 8.2) et maintenance.</w:t>
      </w:r>
    </w:p>
    <w:p>
      <w:pPr>
        <w:pStyle w:val="Heading1"/>
      </w:pPr>
      <w:r>
        <w:t xml:space="preserve">Annexes</w:t>
      </w:r>
    </w:p>
    <w:p>
      <w:pPr>
        <w:pStyle w:val="ListParagraph"/>
        <w:numPr>
          <w:ilvl w:val="0"/>
          <w:numId w:val="2"/>
        </w:numPr>
        <w:spacing w:after="60"/>
      </w:pPr>
      <w:r>
        <w:t xml:space="preserve">Annexe A — Captures d'écran de configuration (à insérer aux emplacements signalés en rouge).</w:t>
      </w:r>
    </w:p>
    <w:p>
      <w:pPr>
        <w:pStyle w:val="ListParagraph"/>
        <w:numPr>
          <w:ilvl w:val="0"/>
          <w:numId w:val="2"/>
        </w:numPr>
        <w:spacing w:after="60"/>
      </w:pPr>
      <w:r>
        <w:t xml:space="preserve">Annexe B — Export des règles de pare-feu pfSense.</w:t>
      </w:r>
    </w:p>
    <w:p>
      <w:pPr>
        <w:pStyle w:val="ListParagraph"/>
        <w:numPr>
          <w:ilvl w:val="0"/>
          <w:numId w:val="2"/>
        </w:numPr>
        <w:spacing w:after="60"/>
      </w:pPr>
      <w:r>
        <w:t xml:space="preserve">Annexe C — Classeur Budget_Materiel_Ymmo.xlsx.</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777777"/>
        <w:sz w:val="16"/>
        <w:szCs w:val="16"/>
      </w:rPr>
      <w:t xml:space="preserve">Documentation technique INFRA — Projet Ymmo — Page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abstractNum w:abstractNumId="3" w15:restartNumberingAfterBreak="0">
    <w:multiLevelType w:val="hybridMultilevel"/>
    <w:lvl w:ilvl="0" w15:tentative="1">
      <w:start w:val="1"/>
      <w:numFmt w:val="decimal"/>
      <w:lvlText w:val="%1."/>
      <w:lvlJc w:val="left"/>
      <w:pPr>
        <w:ind w:left="540" w:hanging="27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20"/>
      <w:outlineLvl w:val="0"/>
    </w:pPr>
    <w:rPr>
      <w:rFonts w:ascii="Arial" w:cs="Arial" w:eastAsia="Arial" w:hAnsi="Arial"/>
      <w:b/>
      <w:bCs/>
      <w:color w:val="1F3864"/>
      <w:sz w:val="32"/>
      <w:szCs w:val="32"/>
    </w:rPr>
  </w:style>
  <w:style w:type="paragraph" w:styleId="Heading2">
    <w:name w:val="Heading 2"/>
    <w:basedOn w:val="Normal"/>
    <w:next w:val="Normal"/>
    <w:qFormat/>
    <w:pPr>
      <w:spacing w:after="140" w:before="240"/>
      <w:outlineLvl w:val="1"/>
    </w:pPr>
    <w:rPr>
      <w:rFonts w:ascii="Arial" w:cs="Arial" w:eastAsia="Arial" w:hAnsi="Arial"/>
      <w:b/>
      <w:bCs/>
      <w:color w:val="2E5496"/>
      <w:sz w:val="26"/>
      <w:szCs w:val="26"/>
    </w:rPr>
  </w:style>
  <w:style w:type="paragraph" w:styleId="Heading3">
    <w:name w:val="Heading 3"/>
    <w:basedOn w:val="Normal"/>
    <w:next w:val="Normal"/>
    <w:qFormat/>
    <w:pPr>
      <w:spacing w:after="100" w:before="180"/>
      <w:outlineLvl w:val="2"/>
    </w:pPr>
    <w:rPr>
      <w:rFonts w:ascii="Arial" w:cs="Arial" w:eastAsia="Arial" w:hAnsi="Arial"/>
      <w:b/>
      <w:bCs/>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df7ccd66187aa876ba9c7b99faa3ac35ae75f9c3.pn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2026-06-11T23:53:32.785Z</dcterms:created>
  <dcterms:modified xsi:type="dcterms:W3CDTF">2026-06-11T23:53:32.798Z</dcterms:modified>
</cp:coreProperties>
</file>

<file path=docProps/custom.xml><?xml version="1.0" encoding="utf-8"?>
<Properties xmlns="http://schemas.openxmlformats.org/officeDocument/2006/custom-properties" xmlns:vt="http://schemas.openxmlformats.org/officeDocument/2006/docPropsVTypes"/>
</file>