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</w:p>
    <w:p w:rsidR="00421AEC" w:rsidRPr="00421AEC" w:rsidRDefault="002F5874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 xml:space="preserve">ciwości nadprzewodzących w </w:t>
      </w:r>
      <w:proofErr w:type="spellStart"/>
      <w:r>
        <w:rPr>
          <w:sz w:val="24"/>
          <w:szCs w:val="24"/>
        </w:rPr>
        <w:t>nanowarstwach</w:t>
      </w:r>
      <w:proofErr w:type="spellEnd"/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Zakładamy, że </w:t>
      </w:r>
      <w:proofErr w:type="spellStart"/>
      <w:r>
        <w:rPr>
          <w:sz w:val="24"/>
          <w:szCs w:val="24"/>
        </w:rPr>
        <w:t>nanowarstwa</w:t>
      </w:r>
      <w:proofErr w:type="spellEnd"/>
      <w:r>
        <w:rPr>
          <w:sz w:val="24"/>
          <w:szCs w:val="24"/>
        </w:rPr>
        <w:t xml:space="preserve">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Rys. 1.: Schemat </w:t>
      </w:r>
      <w:proofErr w:type="spellStart"/>
      <w:r>
        <w:rPr>
          <w:sz w:val="24"/>
          <w:szCs w:val="24"/>
        </w:rPr>
        <w:t>nanowarstwy</w:t>
      </w:r>
      <w:proofErr w:type="spellEnd"/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2F5874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F5874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DA371F" w:rsidRDefault="002F5874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FC408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120BB4" w:rsidRDefault="002F5874" w:rsidP="00303E3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nπz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   n=1,2,…</m:t>
          </m:r>
        </m:oMath>
      </m:oMathPara>
    </w:p>
    <w:p w:rsidR="00120BB4" w:rsidRPr="00120BB4" w:rsidRDefault="002F5874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noProof/>
          <w:sz w:val="28"/>
          <w:szCs w:val="28"/>
          <w:lang w:eastAsia="pl-PL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DA371F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C12E60" w:rsidRDefault="002F5874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(dużo przekształceń)</w:t>
      </w: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Pr="00880A2E" w:rsidRDefault="00880A2E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880A2E">
        <w:rPr>
          <w:rFonts w:eastAsiaTheme="minorEastAsia"/>
          <w:iCs/>
          <w:sz w:val="24"/>
          <w:szCs w:val="24"/>
        </w:rPr>
        <w:t>Wstawiamy do równania (4):</w:t>
      </w:r>
    </w:p>
    <w:p w:rsidR="00880A2E" w:rsidRPr="009264B2" w:rsidRDefault="002F5874" w:rsidP="00DA371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6558E6" w:rsidRPr="009264B2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+μ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</m:oMath>
      </m:oMathPara>
    </w:p>
    <w:p w:rsidR="00B930B6" w:rsidRDefault="00B930B6" w:rsidP="006558E6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Mnożymy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nπz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rFonts w:eastAsiaTheme="minorEastAsia"/>
          <w:iCs/>
          <w:sz w:val="28"/>
          <w:szCs w:val="28"/>
        </w:rPr>
        <w:t xml:space="preserve"> i całkujemy po </w:t>
      </w:r>
      <m:oMath>
        <m:r>
          <w:rPr>
            <w:rFonts w:ascii="Cambria Math" w:eastAsiaTheme="minorEastAsia" w:hAnsi="Cambria Math"/>
            <w:sz w:val="28"/>
            <w:szCs w:val="28"/>
          </w:rPr>
          <m:t>dz</m:t>
        </m:r>
      </m:oMath>
      <w:r>
        <w:rPr>
          <w:rFonts w:eastAsiaTheme="minorEastAsia"/>
          <w:iCs/>
          <w:sz w:val="28"/>
          <w:szCs w:val="28"/>
        </w:rPr>
        <w:t>:</w:t>
      </w:r>
    </w:p>
    <w:p w:rsidR="00B930B6" w:rsidRPr="00A171D7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-μ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</m:t>
          </m:r>
        </m:oMath>
      </m:oMathPara>
    </w:p>
    <w:p w:rsidR="00A171D7" w:rsidRDefault="00A171D7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Pamiętając, że stany studni są ortogonalne:</w:t>
      </w:r>
    </w:p>
    <w:p w:rsidR="00A171D7" w:rsidRPr="006729F2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Oraz:</w:t>
      </w:r>
    </w:p>
    <w:p w:rsidR="006729F2" w:rsidRPr="00CF15BA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</m:sSub>
        </m:oMath>
      </m:oMathPara>
    </w:p>
    <w:p w:rsidR="006729F2" w:rsidRDefault="006729F2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Otrzymujemy:</w:t>
      </w:r>
    </w:p>
    <w:p w:rsidR="006729F2" w:rsidRPr="003914BC" w:rsidRDefault="002F5874" w:rsidP="006558E6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Analogicznie dla drugiego równania:</w:t>
      </w:r>
    </w:p>
    <w:p w:rsidR="001C12EA" w:rsidRPr="003914BC" w:rsidRDefault="001C12EA" w:rsidP="001C12E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sin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nπz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dz=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3914BC" w:rsidRPr="009264B2" w:rsidRDefault="003914BC" w:rsidP="006558E6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6558E6" w:rsidRDefault="006558E6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880A2E" w:rsidRDefault="00880A2E" w:rsidP="00DA371F">
      <w:pPr>
        <w:spacing w:line="360" w:lineRule="auto"/>
        <w:rPr>
          <w:rFonts w:eastAsiaTheme="minorEastAsia"/>
          <w:iCs/>
          <w:sz w:val="28"/>
          <w:szCs w:val="28"/>
        </w:rPr>
      </w:pPr>
    </w:p>
    <w:p w:rsidR="00C12E60" w:rsidRPr="001660B2" w:rsidRDefault="002F5874" w:rsidP="00DA371F">
      <w:pPr>
        <w:spacing w:line="360" w:lineRule="auto"/>
        <w:rPr>
          <w:rFonts w:eastAsiaTheme="minorEastAsia"/>
          <w:iCs/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gdzie</w:t>
      </w:r>
      <w:r w:rsidRPr="001660B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</m:t>
        </m:r>
      </m:oMath>
      <w:r w:rsidR="002D5060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 w:val="24"/>
            <w:szCs w:val="24"/>
          </w:rPr>
          <m:t>2N×2N</m:t>
        </m:r>
      </m:oMath>
      <w:r>
        <w:rPr>
          <w:rFonts w:eastAsiaTheme="minorEastAsia"/>
          <w:iCs/>
          <w:sz w:val="24"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iCs/>
          <w:sz w:val="24"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w postaci:</w:t>
      </w:r>
    </w:p>
    <w:p w:rsidR="001660B2" w:rsidRPr="001660B2" w:rsidRDefault="002F5874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Następnie</w:t>
      </w:r>
      <w:r>
        <w:rPr>
          <w:rFonts w:eastAsiaTheme="minorEastAsia"/>
          <w:iCs/>
          <w:sz w:val="24"/>
          <w:szCs w:val="24"/>
        </w:rPr>
        <w:t xml:space="preserve"> rozwiążmy problem własny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z powyższego równania:</w:t>
      </w:r>
    </w:p>
    <w:p w:rsidR="001660B2" w:rsidRPr="001660B2" w:rsidRDefault="002F5874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-μ-E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+μ-E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Otrzymujemy wartości własne energii równe:</w:t>
      </w:r>
    </w:p>
    <w:p w:rsidR="001660B2" w:rsidRPr="00204BEE" w:rsidRDefault="002F5874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204BEE" w:rsidRPr="00FC408A" w:rsidRDefault="002F5874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iπz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dz</m:t>
          </m:r>
        </m:oMath>
      </m:oMathPara>
    </w:p>
    <w:p w:rsidR="00FC408A" w:rsidRPr="001660B2" w:rsidRDefault="002F5874" w:rsidP="001660B2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C408A" w:rsidRPr="00FC408A" w:rsidRDefault="00FC408A" w:rsidP="00FC408A">
      <w:p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FC408A">
        <w:rPr>
          <w:sz w:val="24"/>
          <w:szCs w:val="24"/>
        </w:rPr>
        <w:t xml:space="preserve"> – stała sprzężenia elektron-fonon</w:t>
      </w:r>
    </w:p>
    <w:p w:rsidR="00FC408A" w:rsidRPr="00204BEE" w:rsidRDefault="00FC408A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den>
          </m:f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Pr="002F5874" w:rsidRDefault="002F5874" w:rsidP="00FC408A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dk</m:t>
                  </m:r>
                </m:e>
              </m:nary>
            </m:e>
          </m:nary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F5874" w:rsidRPr="002F5874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w:r w:rsidRPr="002F5874">
        <w:rPr>
          <w:rFonts w:eastAsiaTheme="minorEastAsia"/>
          <w:sz w:val="24"/>
          <w:szCs w:val="24"/>
        </w:rPr>
        <w:t>Przechodzimy na współrzędne biegunowe</w:t>
      </w:r>
      <w:r w:rsidR="008406B6">
        <w:rPr>
          <w:rFonts w:eastAsiaTheme="minorEastAsia"/>
          <w:sz w:val="24"/>
          <w:szCs w:val="24"/>
        </w:rPr>
        <w:t>:</w:t>
      </w:r>
    </w:p>
    <w:p w:rsidR="00204BEE" w:rsidRDefault="002F5874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04BEE" w:rsidRDefault="0073063C" w:rsidP="00FC408A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Wstawiając ze wzoru (7):</w:t>
      </w:r>
    </w:p>
    <w:p w:rsidR="0073063C" w:rsidRPr="0073063C" w:rsidRDefault="0073063C" w:rsidP="0073063C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3063C" w:rsidRDefault="0073063C" w:rsidP="0073063C">
      <w:pPr>
        <w:spacing w:line="360" w:lineRule="auto"/>
        <w:rPr>
          <w:rFonts w:eastAsiaTheme="minorEastAsia"/>
          <w:sz w:val="24"/>
          <w:szCs w:val="24"/>
        </w:rPr>
      </w:pPr>
      <w:r w:rsidRPr="0073063C">
        <w:rPr>
          <w:rFonts w:eastAsiaTheme="minorEastAsia"/>
          <w:sz w:val="24"/>
          <w:szCs w:val="24"/>
        </w:rPr>
        <w:t>Wstawiamy z równania (xxx):</w:t>
      </w:r>
    </w:p>
    <w:p w:rsidR="003770F6" w:rsidRPr="0073063C" w:rsidRDefault="003770F6" w:rsidP="003770F6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 k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3063C" w:rsidRDefault="003770F6" w:rsidP="0073063C">
      <w:pPr>
        <w:spacing w:line="360" w:lineRule="auto"/>
        <w:rPr>
          <w:rFonts w:eastAsiaTheme="minorEastAsia"/>
          <w:iCs/>
          <w:sz w:val="24"/>
          <w:szCs w:val="24"/>
        </w:rPr>
      </w:pPr>
      <w:r w:rsidRPr="003770F6">
        <w:rPr>
          <w:rFonts w:eastAsiaTheme="minorEastAsia"/>
          <w:iCs/>
          <w:sz w:val="24"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 w:val="24"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dz</m:t>
            </m:r>
          </m:e>
        </m:nary>
      </m:oMath>
      <w:r>
        <w:rPr>
          <w:rFonts w:eastAsiaTheme="minorEastAsia"/>
          <w:iCs/>
          <w:sz w:val="24"/>
          <w:szCs w:val="24"/>
        </w:rPr>
        <w:t>:</w:t>
      </w:r>
    </w:p>
    <w:p w:rsidR="003770F6" w:rsidRPr="003770F6" w:rsidRDefault="003770F6" w:rsidP="0073063C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dz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73063C" w:rsidRDefault="003770F6" w:rsidP="00FC408A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204BEE" w:rsidRDefault="00204BEE" w:rsidP="00FC408A">
      <w:pPr>
        <w:spacing w:line="360" w:lineRule="auto"/>
        <w:rPr>
          <w:rFonts w:eastAsiaTheme="minorEastAsia"/>
          <w:iCs/>
          <w:sz w:val="24"/>
          <w:szCs w:val="24"/>
        </w:rPr>
      </w:pPr>
    </w:p>
    <w:p w:rsidR="00204BEE" w:rsidRDefault="00204BEE" w:rsidP="00FC408A">
      <w:pPr>
        <w:spacing w:line="360" w:lineRule="auto"/>
        <w:rPr>
          <w:sz w:val="24"/>
          <w:szCs w:val="24"/>
        </w:rPr>
      </w:pPr>
    </w:p>
    <w:p w:rsidR="001660B2" w:rsidRPr="00080632" w:rsidRDefault="002F5874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 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  <w:bookmarkStart w:id="0" w:name="_GoBack"/>
      <w:bookmarkEnd w:id="0"/>
    </w:p>
    <w:p w:rsidR="00080632" w:rsidRDefault="00080632" w:rsidP="00080632">
      <w:pPr>
        <w:pStyle w:val="Akapitzlist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080632">
        <w:rPr>
          <w:b/>
          <w:sz w:val="32"/>
          <w:szCs w:val="32"/>
        </w:rPr>
        <w:t>Obliczenia numeryczne</w:t>
      </w:r>
    </w:p>
    <w:p w:rsidR="00186357" w:rsidRP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Potencjał chemiczny</w:t>
      </w:r>
    </w:p>
    <w:p w:rsidR="00080632" w:rsidRDefault="00186357" w:rsidP="00080632">
      <w:pPr>
        <w:spacing w:line="360" w:lineRule="auto"/>
        <w:rPr>
          <w:b/>
          <w:sz w:val="32"/>
          <w:szCs w:val="32"/>
        </w:rPr>
      </w:pPr>
      <w:r w:rsidRPr="00186357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0CE48524" wp14:editId="70945F4D">
            <wp:extent cx="5760720" cy="4608830"/>
            <wp:effectExtent l="0" t="0" r="0" b="1270"/>
            <wp:docPr id="4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Przerwa nadprzewodząca dla aluminium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 w:rsidRPr="00186357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6211DAC5" wp14:editId="644FADFB">
            <wp:extent cx="5760720" cy="4608830"/>
            <wp:effectExtent l="0" t="0" r="0" b="1270"/>
            <wp:docPr id="1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186357" w:rsidP="00186357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 od k</w:t>
      </w:r>
    </w:p>
    <w:p w:rsidR="00186357" w:rsidRDefault="00186357" w:rsidP="00186357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366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z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91200" cy="4343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Delta od T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753100" cy="45186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Temperatura krytyczna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3A16D0BB" wp14:editId="629FA3C0">
            <wp:extent cx="5760720" cy="4608830"/>
            <wp:effectExtent l="0" t="0" r="0" b="1270"/>
            <wp:docPr id="9" name="Symbol zastępczy zawartości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2" w:rsidRDefault="00227612" w:rsidP="00227612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Inne metale</w:t>
      </w:r>
    </w:p>
    <w:p w:rsidR="00227612" w:rsidRDefault="00227612" w:rsidP="0022761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lastRenderedPageBreak/>
        <w:drawing>
          <wp:inline distT="0" distB="0" distL="0" distR="0" wp14:anchorId="79ABABF0" wp14:editId="1BCE3E1C">
            <wp:extent cx="4530080" cy="3624064"/>
            <wp:effectExtent l="0" t="0" r="4445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57" w:rsidRDefault="00227612" w:rsidP="00080632">
      <w:pPr>
        <w:spacing w:line="360" w:lineRule="auto"/>
        <w:rPr>
          <w:b/>
          <w:sz w:val="32"/>
          <w:szCs w:val="32"/>
        </w:rPr>
      </w:pPr>
      <w:r w:rsidRPr="00227612">
        <w:rPr>
          <w:b/>
          <w:noProof/>
          <w:sz w:val="32"/>
          <w:szCs w:val="32"/>
          <w:lang w:eastAsia="pl-PL"/>
        </w:rPr>
        <w:drawing>
          <wp:inline distT="0" distB="0" distL="0" distR="0" wp14:anchorId="77F1D87A" wp14:editId="788928E1">
            <wp:extent cx="4530080" cy="3624064"/>
            <wp:effectExtent l="0" t="0" r="4445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36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Obliczenia dla ołowiu</w:t>
      </w:r>
    </w:p>
    <w:p w:rsidR="00DA16EC" w:rsidRPr="00DA16EC" w:rsidRDefault="00DA16EC" w:rsidP="00DA16EC">
      <w:pPr>
        <w:pStyle w:val="Akapitzlist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Niejednorodność powierzchni</w:t>
      </w:r>
    </w:p>
    <w:p w:rsidR="00186357" w:rsidRPr="00080632" w:rsidRDefault="00186357" w:rsidP="00080632">
      <w:pPr>
        <w:spacing w:line="360" w:lineRule="auto"/>
        <w:rPr>
          <w:b/>
          <w:sz w:val="32"/>
          <w:szCs w:val="32"/>
        </w:rPr>
      </w:pPr>
    </w:p>
    <w:sectPr w:rsidR="00186357" w:rsidRPr="0008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F0D" w:rsidRDefault="00C47F0D" w:rsidP="00F47C43">
      <w:pPr>
        <w:spacing w:after="0" w:line="240" w:lineRule="auto"/>
      </w:pPr>
      <w:r>
        <w:separator/>
      </w:r>
    </w:p>
  </w:endnote>
  <w:endnote w:type="continuationSeparator" w:id="0">
    <w:p w:rsidR="00C47F0D" w:rsidRDefault="00C47F0D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F0D" w:rsidRDefault="00C47F0D" w:rsidP="00F47C43">
      <w:pPr>
        <w:spacing w:after="0" w:line="240" w:lineRule="auto"/>
      </w:pPr>
      <w:r>
        <w:separator/>
      </w:r>
    </w:p>
  </w:footnote>
  <w:footnote w:type="continuationSeparator" w:id="0">
    <w:p w:rsidR="00C47F0D" w:rsidRDefault="00C47F0D" w:rsidP="00F47C43">
      <w:pPr>
        <w:spacing w:after="0" w:line="240" w:lineRule="auto"/>
      </w:pPr>
      <w:r>
        <w:continuationSeparator/>
      </w:r>
    </w:p>
  </w:footnote>
  <w:footnote w:id="1">
    <w:p w:rsidR="002F5874" w:rsidRPr="00F47C43" w:rsidRDefault="002F5874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2F5874" w:rsidRPr="00811AE2" w:rsidRDefault="002F5874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>
        <w:rPr>
          <w:rFonts w:ascii="CMR9" w:hAnsi="CMR9" w:cs="CMR9"/>
          <w:sz w:val="18"/>
          <w:szCs w:val="18"/>
        </w:rPr>
        <w:t>, 1915 (2004)</w:t>
      </w:r>
    </w:p>
  </w:footnote>
  <w:footnote w:id="3">
    <w:p w:rsidR="002F5874" w:rsidRPr="00FC1234" w:rsidRDefault="002F5874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2F5874" w:rsidRDefault="002F5874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>, 104 (2010)</w:t>
      </w:r>
    </w:p>
    <w:p w:rsidR="002F5874" w:rsidRDefault="002F5874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2F5874" w:rsidRPr="003B6B6B" w:rsidRDefault="002F5874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B0FF1"/>
    <w:multiLevelType w:val="hybridMultilevel"/>
    <w:tmpl w:val="08A4BE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16580"/>
    <w:rsid w:val="00054CD3"/>
    <w:rsid w:val="00080632"/>
    <w:rsid w:val="000C6B18"/>
    <w:rsid w:val="000E5E38"/>
    <w:rsid w:val="000F4D52"/>
    <w:rsid w:val="00106744"/>
    <w:rsid w:val="0010748A"/>
    <w:rsid w:val="00120BB4"/>
    <w:rsid w:val="001660B2"/>
    <w:rsid w:val="00171E3A"/>
    <w:rsid w:val="00186357"/>
    <w:rsid w:val="0019522D"/>
    <w:rsid w:val="001C12EA"/>
    <w:rsid w:val="001D63CB"/>
    <w:rsid w:val="00204BEE"/>
    <w:rsid w:val="00224BF3"/>
    <w:rsid w:val="00227612"/>
    <w:rsid w:val="00247AED"/>
    <w:rsid w:val="002D5060"/>
    <w:rsid w:val="002F5874"/>
    <w:rsid w:val="00303E30"/>
    <w:rsid w:val="003455DD"/>
    <w:rsid w:val="003770F6"/>
    <w:rsid w:val="003914BC"/>
    <w:rsid w:val="003A25E2"/>
    <w:rsid w:val="003A6152"/>
    <w:rsid w:val="003B6B6B"/>
    <w:rsid w:val="00421AEC"/>
    <w:rsid w:val="00422CB6"/>
    <w:rsid w:val="00425913"/>
    <w:rsid w:val="0045764F"/>
    <w:rsid w:val="004D01A5"/>
    <w:rsid w:val="005C1D83"/>
    <w:rsid w:val="005E0A09"/>
    <w:rsid w:val="00605768"/>
    <w:rsid w:val="00610797"/>
    <w:rsid w:val="006235FB"/>
    <w:rsid w:val="006558E6"/>
    <w:rsid w:val="006650AC"/>
    <w:rsid w:val="006729F2"/>
    <w:rsid w:val="00702885"/>
    <w:rsid w:val="0073063C"/>
    <w:rsid w:val="007370ED"/>
    <w:rsid w:val="007405CA"/>
    <w:rsid w:val="00784F96"/>
    <w:rsid w:val="007B564A"/>
    <w:rsid w:val="007D44E5"/>
    <w:rsid w:val="00811AE2"/>
    <w:rsid w:val="008406B6"/>
    <w:rsid w:val="00853C29"/>
    <w:rsid w:val="00880A2E"/>
    <w:rsid w:val="0089364C"/>
    <w:rsid w:val="008A4C1E"/>
    <w:rsid w:val="008B1D17"/>
    <w:rsid w:val="008B4C48"/>
    <w:rsid w:val="009264B2"/>
    <w:rsid w:val="00957C24"/>
    <w:rsid w:val="009C0D05"/>
    <w:rsid w:val="009D2B25"/>
    <w:rsid w:val="00A144E7"/>
    <w:rsid w:val="00A171D7"/>
    <w:rsid w:val="00AA238E"/>
    <w:rsid w:val="00AC2D6D"/>
    <w:rsid w:val="00AD4BC3"/>
    <w:rsid w:val="00AE67B0"/>
    <w:rsid w:val="00B05A35"/>
    <w:rsid w:val="00B26750"/>
    <w:rsid w:val="00B930B6"/>
    <w:rsid w:val="00BF217D"/>
    <w:rsid w:val="00C12E60"/>
    <w:rsid w:val="00C47F0D"/>
    <w:rsid w:val="00CD07E5"/>
    <w:rsid w:val="00CF15BA"/>
    <w:rsid w:val="00CF527D"/>
    <w:rsid w:val="00D410BD"/>
    <w:rsid w:val="00D55321"/>
    <w:rsid w:val="00DA16EC"/>
    <w:rsid w:val="00DA371F"/>
    <w:rsid w:val="00EE0603"/>
    <w:rsid w:val="00F45DA2"/>
    <w:rsid w:val="00F47C43"/>
    <w:rsid w:val="00F76D6C"/>
    <w:rsid w:val="00FC1234"/>
    <w:rsid w:val="00FC408A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02EC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089A-ADEF-4A5D-8DB9-AFE8BB129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15</Pages>
  <Words>1461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59</cp:revision>
  <dcterms:created xsi:type="dcterms:W3CDTF">2016-05-06T11:24:00Z</dcterms:created>
  <dcterms:modified xsi:type="dcterms:W3CDTF">2016-07-21T19:03:00Z</dcterms:modified>
</cp:coreProperties>
</file>