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w:t>
      </w:r>
      <w:bookmarkStart w:id="0" w:name="_GoBack"/>
      <w:bookmarkEnd w:id="0"/>
      <w:r>
        <w:rPr>
          <w:b/>
          <w:sz w:val="52"/>
          <w:szCs w:val="52"/>
        </w:rPr>
        <w:t>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F35AD1" w:rsidRDefault="00F35AD1" w:rsidP="006C2E05">
      <w:pPr>
        <w:rPr>
          <w:szCs w:val="24"/>
        </w:rPr>
        <w:sectPr w:rsidR="00F35AD1" w:rsidSect="00C72634">
          <w:pgSz w:w="11906" w:h="16838"/>
          <w:pgMar w:top="1418" w:right="1134" w:bottom="1418" w:left="1985" w:header="709" w:footer="709" w:gutter="0"/>
          <w:cols w:space="708"/>
          <w:docGrid w:linePitch="360"/>
        </w:sectPr>
      </w:pPr>
      <w:r>
        <w:rPr>
          <w:szCs w:val="24"/>
        </w:rPr>
        <w:t xml:space="preserve">Chciałbym </w:t>
      </w:r>
      <w:proofErr w:type="spellStart"/>
      <w:r>
        <w:rPr>
          <w:szCs w:val="24"/>
        </w:rPr>
        <w:t>podziekować</w:t>
      </w:r>
      <w:proofErr w:type="spellEnd"/>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6A125A"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470992" w:history="1">
            <w:r w:rsidR="006A125A" w:rsidRPr="008E4663">
              <w:rPr>
                <w:rStyle w:val="Hipercze"/>
                <w:noProof/>
              </w:rPr>
              <w:t>1.</w:t>
            </w:r>
            <w:r w:rsidR="006A125A">
              <w:rPr>
                <w:rFonts w:cstheme="minorBidi"/>
                <w:noProof/>
                <w:sz w:val="22"/>
              </w:rPr>
              <w:tab/>
            </w:r>
            <w:r w:rsidR="006A125A" w:rsidRPr="008E4663">
              <w:rPr>
                <w:rStyle w:val="Hipercze"/>
                <w:noProof/>
              </w:rPr>
              <w:t>Wprowadzenie</w:t>
            </w:r>
            <w:r w:rsidR="006A125A">
              <w:rPr>
                <w:noProof/>
                <w:webHidden/>
              </w:rPr>
              <w:tab/>
            </w:r>
            <w:r w:rsidR="006A125A">
              <w:rPr>
                <w:noProof/>
                <w:webHidden/>
              </w:rPr>
              <w:fldChar w:fldCharType="begin"/>
            </w:r>
            <w:r w:rsidR="006A125A">
              <w:rPr>
                <w:noProof/>
                <w:webHidden/>
              </w:rPr>
              <w:instrText xml:space="preserve"> PAGEREF _Toc461470992 \h </w:instrText>
            </w:r>
            <w:r w:rsidR="006A125A">
              <w:rPr>
                <w:noProof/>
                <w:webHidden/>
              </w:rPr>
            </w:r>
            <w:r w:rsidR="006A125A">
              <w:rPr>
                <w:noProof/>
                <w:webHidden/>
              </w:rPr>
              <w:fldChar w:fldCharType="separate"/>
            </w:r>
            <w:r w:rsidR="003743DB">
              <w:rPr>
                <w:noProof/>
                <w:webHidden/>
              </w:rPr>
              <w:t>7</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0993" w:history="1">
            <w:r w:rsidR="006A125A" w:rsidRPr="008E4663">
              <w:rPr>
                <w:rStyle w:val="Hipercze"/>
                <w:noProof/>
                <w:lang w:bidi="x-none"/>
                <w14:scene3d>
                  <w14:camera w14:prst="orthographicFront"/>
                  <w14:lightRig w14:rig="threePt" w14:dir="t">
                    <w14:rot w14:lat="0" w14:lon="0" w14:rev="0"/>
                  </w14:lightRig>
                </w14:scene3d>
              </w:rPr>
              <w:t>1.1.</w:t>
            </w:r>
            <w:r w:rsidR="006A125A">
              <w:rPr>
                <w:rFonts w:cstheme="minorBidi"/>
                <w:noProof/>
                <w:sz w:val="22"/>
              </w:rPr>
              <w:tab/>
            </w:r>
            <w:r w:rsidR="006A125A" w:rsidRPr="008E4663">
              <w:rPr>
                <w:rStyle w:val="Hipercze"/>
                <w:noProof/>
              </w:rPr>
              <w:t>Wstęp</w:t>
            </w:r>
            <w:r w:rsidR="006A125A">
              <w:rPr>
                <w:noProof/>
                <w:webHidden/>
              </w:rPr>
              <w:tab/>
            </w:r>
            <w:r w:rsidR="006A125A">
              <w:rPr>
                <w:noProof/>
                <w:webHidden/>
              </w:rPr>
              <w:fldChar w:fldCharType="begin"/>
            </w:r>
            <w:r w:rsidR="006A125A">
              <w:rPr>
                <w:noProof/>
                <w:webHidden/>
              </w:rPr>
              <w:instrText xml:space="preserve"> PAGEREF _Toc461470993 \h </w:instrText>
            </w:r>
            <w:r w:rsidR="006A125A">
              <w:rPr>
                <w:noProof/>
                <w:webHidden/>
              </w:rPr>
            </w:r>
            <w:r w:rsidR="006A125A">
              <w:rPr>
                <w:noProof/>
                <w:webHidden/>
              </w:rPr>
              <w:fldChar w:fldCharType="separate"/>
            </w:r>
            <w:r w:rsidR="003743DB">
              <w:rPr>
                <w:noProof/>
                <w:webHidden/>
              </w:rPr>
              <w:t>7</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0994" w:history="1">
            <w:r w:rsidR="006A125A" w:rsidRPr="008E4663">
              <w:rPr>
                <w:rStyle w:val="Hipercze"/>
                <w:noProof/>
                <w:lang w:bidi="x-none"/>
                <w14:scene3d>
                  <w14:camera w14:prst="orthographicFront"/>
                  <w14:lightRig w14:rig="threePt" w14:dir="t">
                    <w14:rot w14:lat="0" w14:lon="0" w14:rev="0"/>
                  </w14:lightRig>
                </w14:scene3d>
              </w:rPr>
              <w:t>1.2.</w:t>
            </w:r>
            <w:r w:rsidR="006A125A">
              <w:rPr>
                <w:rFonts w:cstheme="minorBidi"/>
                <w:noProof/>
                <w:sz w:val="22"/>
              </w:rPr>
              <w:tab/>
            </w:r>
            <w:r w:rsidR="006A125A" w:rsidRPr="008E4663">
              <w:rPr>
                <w:rStyle w:val="Hipercze"/>
                <w:noProof/>
              </w:rPr>
              <w:t>Cel pracy</w:t>
            </w:r>
            <w:r w:rsidR="006A125A">
              <w:rPr>
                <w:noProof/>
                <w:webHidden/>
              </w:rPr>
              <w:tab/>
            </w:r>
            <w:r w:rsidR="006A125A">
              <w:rPr>
                <w:noProof/>
                <w:webHidden/>
              </w:rPr>
              <w:fldChar w:fldCharType="begin"/>
            </w:r>
            <w:r w:rsidR="006A125A">
              <w:rPr>
                <w:noProof/>
                <w:webHidden/>
              </w:rPr>
              <w:instrText xml:space="preserve"> PAGEREF _Toc461470994 \h </w:instrText>
            </w:r>
            <w:r w:rsidR="006A125A">
              <w:rPr>
                <w:noProof/>
                <w:webHidden/>
              </w:rPr>
            </w:r>
            <w:r w:rsidR="006A125A">
              <w:rPr>
                <w:noProof/>
                <w:webHidden/>
              </w:rPr>
              <w:fldChar w:fldCharType="separate"/>
            </w:r>
            <w:r w:rsidR="003743DB">
              <w:rPr>
                <w:noProof/>
                <w:webHidden/>
              </w:rPr>
              <w:t>8</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0995" w:history="1">
            <w:r w:rsidR="006A125A" w:rsidRPr="008E4663">
              <w:rPr>
                <w:rStyle w:val="Hipercze"/>
                <w:noProof/>
                <w:lang w:bidi="x-none"/>
                <w14:scene3d>
                  <w14:camera w14:prst="orthographicFront"/>
                  <w14:lightRig w14:rig="threePt" w14:dir="t">
                    <w14:rot w14:lat="0" w14:lon="0" w14:rev="0"/>
                  </w14:lightRig>
                </w14:scene3d>
              </w:rPr>
              <w:t>1.3.</w:t>
            </w:r>
            <w:r w:rsidR="006A125A">
              <w:rPr>
                <w:rFonts w:cstheme="minorBidi"/>
                <w:noProof/>
                <w:sz w:val="22"/>
              </w:rPr>
              <w:tab/>
            </w:r>
            <w:r w:rsidR="006A125A" w:rsidRPr="008E4663">
              <w:rPr>
                <w:rStyle w:val="Hipercze"/>
                <w:noProof/>
              </w:rPr>
              <w:t>Zawartość pracy</w:t>
            </w:r>
            <w:r w:rsidR="006A125A">
              <w:rPr>
                <w:noProof/>
                <w:webHidden/>
              </w:rPr>
              <w:tab/>
            </w:r>
            <w:r w:rsidR="006A125A">
              <w:rPr>
                <w:noProof/>
                <w:webHidden/>
              </w:rPr>
              <w:fldChar w:fldCharType="begin"/>
            </w:r>
            <w:r w:rsidR="006A125A">
              <w:rPr>
                <w:noProof/>
                <w:webHidden/>
              </w:rPr>
              <w:instrText xml:space="preserve"> PAGEREF _Toc461470995 \h </w:instrText>
            </w:r>
            <w:r w:rsidR="006A125A">
              <w:rPr>
                <w:noProof/>
                <w:webHidden/>
              </w:rPr>
              <w:fldChar w:fldCharType="separate"/>
            </w:r>
            <w:r w:rsidR="003743DB">
              <w:rPr>
                <w:b/>
                <w:bCs/>
                <w:noProof/>
                <w:webHidden/>
              </w:rPr>
              <w:t>Błąd! Nie zdefiniowano zakładki.</w:t>
            </w:r>
            <w:r w:rsidR="006A125A">
              <w:rPr>
                <w:noProof/>
                <w:webHidden/>
              </w:rPr>
              <w:fldChar w:fldCharType="end"/>
            </w:r>
          </w:hyperlink>
        </w:p>
        <w:p w:rsidR="006A125A" w:rsidRDefault="0038633D">
          <w:pPr>
            <w:pStyle w:val="Spistreci1"/>
            <w:tabs>
              <w:tab w:val="left" w:pos="440"/>
              <w:tab w:val="right" w:leader="dot" w:pos="8777"/>
            </w:tabs>
            <w:rPr>
              <w:rFonts w:cstheme="minorBidi"/>
              <w:noProof/>
              <w:sz w:val="22"/>
            </w:rPr>
          </w:pPr>
          <w:hyperlink w:anchor="_Toc461470996" w:history="1">
            <w:r w:rsidR="006A125A" w:rsidRPr="008E4663">
              <w:rPr>
                <w:rStyle w:val="Hipercze"/>
                <w:noProof/>
              </w:rPr>
              <w:t>2.</w:t>
            </w:r>
            <w:r w:rsidR="006A125A">
              <w:rPr>
                <w:rFonts w:cstheme="minorBidi"/>
                <w:noProof/>
                <w:sz w:val="22"/>
              </w:rPr>
              <w:tab/>
            </w:r>
            <w:r w:rsidR="006A125A" w:rsidRPr="008E4663">
              <w:rPr>
                <w:rStyle w:val="Hipercze"/>
                <w:noProof/>
              </w:rPr>
              <w:t>Informacje teoretyczne</w:t>
            </w:r>
            <w:r w:rsidR="006A125A">
              <w:rPr>
                <w:noProof/>
                <w:webHidden/>
              </w:rPr>
              <w:tab/>
            </w:r>
            <w:r w:rsidR="006A125A">
              <w:rPr>
                <w:noProof/>
                <w:webHidden/>
              </w:rPr>
              <w:fldChar w:fldCharType="begin"/>
            </w:r>
            <w:r w:rsidR="006A125A">
              <w:rPr>
                <w:noProof/>
                <w:webHidden/>
              </w:rPr>
              <w:instrText xml:space="preserve"> PAGEREF _Toc461470996 \h </w:instrText>
            </w:r>
            <w:r w:rsidR="006A125A">
              <w:rPr>
                <w:noProof/>
                <w:webHidden/>
              </w:rPr>
            </w:r>
            <w:r w:rsidR="006A125A">
              <w:rPr>
                <w:noProof/>
                <w:webHidden/>
              </w:rPr>
              <w:fldChar w:fldCharType="separate"/>
            </w:r>
            <w:r w:rsidR="003743DB">
              <w:rPr>
                <w:noProof/>
                <w:webHidden/>
              </w:rPr>
              <w:t>9</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0997" w:history="1">
            <w:r w:rsidR="006A125A" w:rsidRPr="008E4663">
              <w:rPr>
                <w:rStyle w:val="Hipercze"/>
                <w:noProof/>
                <w:lang w:bidi="x-none"/>
                <w14:scene3d>
                  <w14:camera w14:prst="orthographicFront"/>
                  <w14:lightRig w14:rig="threePt" w14:dir="t">
                    <w14:rot w14:lat="0" w14:lon="0" w14:rev="0"/>
                  </w14:lightRig>
                </w14:scene3d>
              </w:rPr>
              <w:t>2.1.</w:t>
            </w:r>
            <w:r w:rsidR="006A125A">
              <w:rPr>
                <w:rFonts w:cstheme="minorBidi"/>
                <w:noProof/>
                <w:sz w:val="22"/>
              </w:rPr>
              <w:tab/>
            </w:r>
            <w:r w:rsidR="006A125A" w:rsidRPr="008E4663">
              <w:rPr>
                <w:rStyle w:val="Hipercze"/>
                <w:noProof/>
              </w:rPr>
              <w:t>Równanie Bogoliubova-de Gennes</w:t>
            </w:r>
            <w:r w:rsidR="006A125A">
              <w:rPr>
                <w:noProof/>
                <w:webHidden/>
              </w:rPr>
              <w:tab/>
            </w:r>
            <w:r w:rsidR="006A125A">
              <w:rPr>
                <w:noProof/>
                <w:webHidden/>
              </w:rPr>
              <w:fldChar w:fldCharType="begin"/>
            </w:r>
            <w:r w:rsidR="006A125A">
              <w:rPr>
                <w:noProof/>
                <w:webHidden/>
              </w:rPr>
              <w:instrText xml:space="preserve"> PAGEREF _Toc461470997 \h </w:instrText>
            </w:r>
            <w:r w:rsidR="006A125A">
              <w:rPr>
                <w:noProof/>
                <w:webHidden/>
              </w:rPr>
            </w:r>
            <w:r w:rsidR="006A125A">
              <w:rPr>
                <w:noProof/>
                <w:webHidden/>
              </w:rPr>
              <w:fldChar w:fldCharType="separate"/>
            </w:r>
            <w:r w:rsidR="003743DB">
              <w:rPr>
                <w:noProof/>
                <w:webHidden/>
              </w:rPr>
              <w:t>9</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0998" w:history="1">
            <w:r w:rsidR="006A125A" w:rsidRPr="008E4663">
              <w:rPr>
                <w:rStyle w:val="Hipercze"/>
                <w:noProof/>
                <w:lang w:bidi="x-none"/>
                <w14:scene3d>
                  <w14:camera w14:prst="orthographicFront"/>
                  <w14:lightRig w14:rig="threePt" w14:dir="t">
                    <w14:rot w14:lat="0" w14:lon="0" w14:rev="0"/>
                  </w14:lightRig>
                </w14:scene3d>
              </w:rPr>
              <w:t>2.2.</w:t>
            </w:r>
            <w:r w:rsidR="006A125A">
              <w:rPr>
                <w:rFonts w:cstheme="minorBidi"/>
                <w:noProof/>
                <w:sz w:val="22"/>
              </w:rPr>
              <w:tab/>
            </w:r>
            <w:r w:rsidR="006A125A" w:rsidRPr="008E4663">
              <w:rPr>
                <w:rStyle w:val="Hipercze"/>
                <w:noProof/>
              </w:rPr>
              <w:t>Przygotowanie równania BdG do obliczeń numerycznych</w:t>
            </w:r>
            <w:r w:rsidR="006A125A">
              <w:rPr>
                <w:noProof/>
                <w:webHidden/>
              </w:rPr>
              <w:tab/>
            </w:r>
            <w:r w:rsidR="006A125A">
              <w:rPr>
                <w:noProof/>
                <w:webHidden/>
              </w:rPr>
              <w:fldChar w:fldCharType="begin"/>
            </w:r>
            <w:r w:rsidR="006A125A">
              <w:rPr>
                <w:noProof/>
                <w:webHidden/>
              </w:rPr>
              <w:instrText xml:space="preserve"> PAGEREF _Toc461470998 \h </w:instrText>
            </w:r>
            <w:r w:rsidR="006A125A">
              <w:rPr>
                <w:noProof/>
                <w:webHidden/>
              </w:rPr>
            </w:r>
            <w:r w:rsidR="006A125A">
              <w:rPr>
                <w:noProof/>
                <w:webHidden/>
              </w:rPr>
              <w:fldChar w:fldCharType="separate"/>
            </w:r>
            <w:r w:rsidR="003743DB">
              <w:rPr>
                <w:noProof/>
                <w:webHidden/>
              </w:rPr>
              <w:t>10</w:t>
            </w:r>
            <w:r w:rsidR="006A125A">
              <w:rPr>
                <w:noProof/>
                <w:webHidden/>
              </w:rPr>
              <w:fldChar w:fldCharType="end"/>
            </w:r>
          </w:hyperlink>
        </w:p>
        <w:p w:rsidR="006A125A" w:rsidRDefault="0038633D">
          <w:pPr>
            <w:pStyle w:val="Spistreci1"/>
            <w:tabs>
              <w:tab w:val="left" w:pos="440"/>
              <w:tab w:val="right" w:leader="dot" w:pos="8777"/>
            </w:tabs>
            <w:rPr>
              <w:rFonts w:cstheme="minorBidi"/>
              <w:noProof/>
              <w:sz w:val="22"/>
            </w:rPr>
          </w:pPr>
          <w:hyperlink w:anchor="_Toc461470999" w:history="1">
            <w:r w:rsidR="006A125A" w:rsidRPr="008E4663">
              <w:rPr>
                <w:rStyle w:val="Hipercze"/>
                <w:noProof/>
              </w:rPr>
              <w:t>3.</w:t>
            </w:r>
            <w:r w:rsidR="006A125A">
              <w:rPr>
                <w:rFonts w:cstheme="minorBidi"/>
                <w:noProof/>
                <w:sz w:val="22"/>
              </w:rPr>
              <w:tab/>
            </w:r>
            <w:r w:rsidR="006A125A" w:rsidRPr="008E4663">
              <w:rPr>
                <w:rStyle w:val="Hipercze"/>
                <w:noProof/>
              </w:rPr>
              <w:t>Obliczenia numeryczne i ich wyniki</w:t>
            </w:r>
            <w:r w:rsidR="006A125A">
              <w:rPr>
                <w:noProof/>
                <w:webHidden/>
              </w:rPr>
              <w:tab/>
            </w:r>
            <w:r w:rsidR="006A125A">
              <w:rPr>
                <w:noProof/>
                <w:webHidden/>
              </w:rPr>
              <w:fldChar w:fldCharType="begin"/>
            </w:r>
            <w:r w:rsidR="006A125A">
              <w:rPr>
                <w:noProof/>
                <w:webHidden/>
              </w:rPr>
              <w:instrText xml:space="preserve"> PAGEREF _Toc461470999 \h </w:instrText>
            </w:r>
            <w:r w:rsidR="006A125A">
              <w:rPr>
                <w:noProof/>
                <w:webHidden/>
              </w:rPr>
            </w:r>
            <w:r w:rsidR="006A125A">
              <w:rPr>
                <w:noProof/>
                <w:webHidden/>
              </w:rPr>
              <w:fldChar w:fldCharType="separate"/>
            </w:r>
            <w:r w:rsidR="003743DB">
              <w:rPr>
                <w:noProof/>
                <w:webHidden/>
              </w:rPr>
              <w:t>16</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0" w:history="1">
            <w:r w:rsidR="006A125A" w:rsidRPr="008E4663">
              <w:rPr>
                <w:rStyle w:val="Hipercze"/>
                <w:noProof/>
                <w:lang w:bidi="x-none"/>
                <w14:scene3d>
                  <w14:camera w14:prst="orthographicFront"/>
                  <w14:lightRig w14:rig="threePt" w14:dir="t">
                    <w14:rot w14:lat="0" w14:lon="0" w14:rev="0"/>
                  </w14:lightRig>
                </w14:scene3d>
              </w:rPr>
              <w:t>3.1.</w:t>
            </w:r>
            <w:r w:rsidR="006A125A">
              <w:rPr>
                <w:rFonts w:cstheme="minorBidi"/>
                <w:noProof/>
                <w:sz w:val="22"/>
              </w:rPr>
              <w:tab/>
            </w:r>
            <w:r w:rsidR="006A125A" w:rsidRPr="008E4663">
              <w:rPr>
                <w:rStyle w:val="Hipercze"/>
                <w:noProof/>
              </w:rPr>
              <w:t>Wykonanie programu</w:t>
            </w:r>
            <w:r w:rsidR="006A125A">
              <w:rPr>
                <w:noProof/>
                <w:webHidden/>
              </w:rPr>
              <w:tab/>
            </w:r>
            <w:r w:rsidR="006A125A">
              <w:rPr>
                <w:noProof/>
                <w:webHidden/>
              </w:rPr>
              <w:fldChar w:fldCharType="begin"/>
            </w:r>
            <w:r w:rsidR="006A125A">
              <w:rPr>
                <w:noProof/>
                <w:webHidden/>
              </w:rPr>
              <w:instrText xml:space="preserve"> PAGEREF _Toc461471000 \h </w:instrText>
            </w:r>
            <w:r w:rsidR="006A125A">
              <w:rPr>
                <w:noProof/>
                <w:webHidden/>
              </w:rPr>
            </w:r>
            <w:r w:rsidR="006A125A">
              <w:rPr>
                <w:noProof/>
                <w:webHidden/>
              </w:rPr>
              <w:fldChar w:fldCharType="separate"/>
            </w:r>
            <w:r w:rsidR="003743DB">
              <w:rPr>
                <w:noProof/>
                <w:webHidden/>
              </w:rPr>
              <w:t>16</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1" w:history="1">
            <w:r w:rsidR="006A125A" w:rsidRPr="008E4663">
              <w:rPr>
                <w:rStyle w:val="Hipercze"/>
                <w:noProof/>
                <w:lang w:bidi="x-none"/>
                <w14:scene3d>
                  <w14:camera w14:prst="orthographicFront"/>
                  <w14:lightRig w14:rig="threePt" w14:dir="t">
                    <w14:rot w14:lat="0" w14:lon="0" w14:rev="0"/>
                  </w14:lightRig>
                </w14:scene3d>
              </w:rPr>
              <w:t>3.2.</w:t>
            </w:r>
            <w:r w:rsidR="006A125A">
              <w:rPr>
                <w:rFonts w:cstheme="minorBidi"/>
                <w:noProof/>
                <w:sz w:val="22"/>
              </w:rPr>
              <w:tab/>
            </w:r>
            <w:r w:rsidR="006A125A" w:rsidRPr="008E4663">
              <w:rPr>
                <w:rStyle w:val="Hipercze"/>
                <w:noProof/>
              </w:rPr>
              <w:t>Potencjał chemiczny</w:t>
            </w:r>
            <w:r w:rsidR="006A125A">
              <w:rPr>
                <w:noProof/>
                <w:webHidden/>
              </w:rPr>
              <w:tab/>
            </w:r>
            <w:r w:rsidR="006A125A">
              <w:rPr>
                <w:noProof/>
                <w:webHidden/>
              </w:rPr>
              <w:fldChar w:fldCharType="begin"/>
            </w:r>
            <w:r w:rsidR="006A125A">
              <w:rPr>
                <w:noProof/>
                <w:webHidden/>
              </w:rPr>
              <w:instrText xml:space="preserve"> PAGEREF _Toc461471001 \h </w:instrText>
            </w:r>
            <w:r w:rsidR="006A125A">
              <w:rPr>
                <w:noProof/>
                <w:webHidden/>
              </w:rPr>
            </w:r>
            <w:r w:rsidR="006A125A">
              <w:rPr>
                <w:noProof/>
                <w:webHidden/>
              </w:rPr>
              <w:fldChar w:fldCharType="separate"/>
            </w:r>
            <w:r w:rsidR="003743DB">
              <w:rPr>
                <w:noProof/>
                <w:webHidden/>
              </w:rPr>
              <w:t>16</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2" w:history="1">
            <w:r w:rsidR="006A125A" w:rsidRPr="008E4663">
              <w:rPr>
                <w:rStyle w:val="Hipercze"/>
                <w:noProof/>
                <w:lang w:bidi="x-none"/>
                <w14:scene3d>
                  <w14:camera w14:prst="orthographicFront"/>
                  <w14:lightRig w14:rig="threePt" w14:dir="t">
                    <w14:rot w14:lat="0" w14:lon="0" w14:rev="0"/>
                  </w14:lightRig>
                </w14:scene3d>
              </w:rPr>
              <w:t>3.3.</w:t>
            </w:r>
            <w:r w:rsidR="006A125A">
              <w:rPr>
                <w:rFonts w:cstheme="minorBidi"/>
                <w:noProof/>
                <w:sz w:val="22"/>
              </w:rPr>
              <w:tab/>
            </w:r>
            <w:r w:rsidR="006A125A" w:rsidRPr="008E4663">
              <w:rPr>
                <w:rStyle w:val="Hipercze"/>
                <w:noProof/>
              </w:rPr>
              <w:t>Przerwa nadprzewodząca</w:t>
            </w:r>
            <w:r w:rsidR="006A125A">
              <w:rPr>
                <w:noProof/>
                <w:webHidden/>
              </w:rPr>
              <w:tab/>
            </w:r>
            <w:r w:rsidR="006A125A">
              <w:rPr>
                <w:noProof/>
                <w:webHidden/>
              </w:rPr>
              <w:fldChar w:fldCharType="begin"/>
            </w:r>
            <w:r w:rsidR="006A125A">
              <w:rPr>
                <w:noProof/>
                <w:webHidden/>
              </w:rPr>
              <w:instrText xml:space="preserve"> PAGEREF _Toc461471002 \h </w:instrText>
            </w:r>
            <w:r w:rsidR="006A125A">
              <w:rPr>
                <w:noProof/>
                <w:webHidden/>
              </w:rPr>
            </w:r>
            <w:r w:rsidR="006A125A">
              <w:rPr>
                <w:noProof/>
                <w:webHidden/>
              </w:rPr>
              <w:fldChar w:fldCharType="separate"/>
            </w:r>
            <w:r w:rsidR="003743DB">
              <w:rPr>
                <w:noProof/>
                <w:webHidden/>
              </w:rPr>
              <w:t>18</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3" w:history="1">
            <w:r w:rsidR="006A125A" w:rsidRPr="008E4663">
              <w:rPr>
                <w:rStyle w:val="Hipercze"/>
                <w:noProof/>
                <w:lang w:bidi="x-none"/>
                <w14:scene3d>
                  <w14:camera w14:prst="orthographicFront"/>
                  <w14:lightRig w14:rig="threePt" w14:dir="t">
                    <w14:rot w14:lat="0" w14:lon="0" w14:rev="0"/>
                  </w14:lightRig>
                </w14:scene3d>
              </w:rPr>
              <w:t>3.4.</w:t>
            </w:r>
            <w:r w:rsidR="006A125A">
              <w:rPr>
                <w:rFonts w:cstheme="minorBidi"/>
                <w:noProof/>
                <w:sz w:val="22"/>
              </w:rPr>
              <w:tab/>
            </w:r>
            <w:r w:rsidR="006A125A" w:rsidRPr="008E4663">
              <w:rPr>
                <w:rStyle w:val="Hipercze"/>
                <w:noProof/>
              </w:rPr>
              <w:t>Temperatura krytyczna</w:t>
            </w:r>
            <w:r w:rsidR="006A125A">
              <w:rPr>
                <w:noProof/>
                <w:webHidden/>
              </w:rPr>
              <w:tab/>
            </w:r>
            <w:r w:rsidR="006A125A">
              <w:rPr>
                <w:noProof/>
                <w:webHidden/>
              </w:rPr>
              <w:fldChar w:fldCharType="begin"/>
            </w:r>
            <w:r w:rsidR="006A125A">
              <w:rPr>
                <w:noProof/>
                <w:webHidden/>
              </w:rPr>
              <w:instrText xml:space="preserve"> PAGEREF _Toc461471003 \h </w:instrText>
            </w:r>
            <w:r w:rsidR="006A125A">
              <w:rPr>
                <w:noProof/>
                <w:webHidden/>
              </w:rPr>
            </w:r>
            <w:r w:rsidR="006A125A">
              <w:rPr>
                <w:noProof/>
                <w:webHidden/>
              </w:rPr>
              <w:fldChar w:fldCharType="separate"/>
            </w:r>
            <w:r w:rsidR="003743DB">
              <w:rPr>
                <w:noProof/>
                <w:webHidden/>
              </w:rPr>
              <w:t>22</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4" w:history="1">
            <w:r w:rsidR="006A125A" w:rsidRPr="008E4663">
              <w:rPr>
                <w:rStyle w:val="Hipercze"/>
                <w:noProof/>
                <w:lang w:bidi="x-none"/>
                <w14:scene3d>
                  <w14:camera w14:prst="orthographicFront"/>
                  <w14:lightRig w14:rig="threePt" w14:dir="t">
                    <w14:rot w14:lat="0" w14:lon="0" w14:rev="0"/>
                  </w14:lightRig>
                </w14:scene3d>
              </w:rPr>
              <w:t>3.5.</w:t>
            </w:r>
            <w:r w:rsidR="006A125A">
              <w:rPr>
                <w:rFonts w:cstheme="minorBidi"/>
                <w:noProof/>
                <w:sz w:val="22"/>
              </w:rPr>
              <w:tab/>
            </w:r>
            <w:r w:rsidR="006A125A" w:rsidRPr="008E4663">
              <w:rPr>
                <w:rStyle w:val="Hipercze"/>
                <w:noProof/>
              </w:rPr>
              <w:t>Inne metale</w:t>
            </w:r>
            <w:r w:rsidR="006A125A">
              <w:rPr>
                <w:noProof/>
                <w:webHidden/>
              </w:rPr>
              <w:tab/>
            </w:r>
            <w:r w:rsidR="006A125A">
              <w:rPr>
                <w:noProof/>
                <w:webHidden/>
              </w:rPr>
              <w:fldChar w:fldCharType="begin"/>
            </w:r>
            <w:r w:rsidR="006A125A">
              <w:rPr>
                <w:noProof/>
                <w:webHidden/>
              </w:rPr>
              <w:instrText xml:space="preserve"> PAGEREF _Toc461471004 \h </w:instrText>
            </w:r>
            <w:r w:rsidR="006A125A">
              <w:rPr>
                <w:noProof/>
                <w:webHidden/>
              </w:rPr>
            </w:r>
            <w:r w:rsidR="006A125A">
              <w:rPr>
                <w:noProof/>
                <w:webHidden/>
              </w:rPr>
              <w:fldChar w:fldCharType="separate"/>
            </w:r>
            <w:r w:rsidR="003743DB">
              <w:rPr>
                <w:noProof/>
                <w:webHidden/>
              </w:rPr>
              <w:t>24</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5" w:history="1">
            <w:r w:rsidR="006A125A" w:rsidRPr="008E4663">
              <w:rPr>
                <w:rStyle w:val="Hipercze"/>
                <w:noProof/>
                <w:lang w:bidi="x-none"/>
                <w14:scene3d>
                  <w14:camera w14:prst="orthographicFront"/>
                  <w14:lightRig w14:rig="threePt" w14:dir="t">
                    <w14:rot w14:lat="0" w14:lon="0" w14:rev="0"/>
                  </w14:lightRig>
                </w14:scene3d>
              </w:rPr>
              <w:t>3.6.</w:t>
            </w:r>
            <w:r w:rsidR="006A125A">
              <w:rPr>
                <w:rFonts w:cstheme="minorBidi"/>
                <w:noProof/>
                <w:sz w:val="22"/>
              </w:rPr>
              <w:tab/>
            </w:r>
            <w:r w:rsidR="006A125A" w:rsidRPr="008E4663">
              <w:rPr>
                <w:rStyle w:val="Hipercze"/>
                <w:noProof/>
              </w:rPr>
              <w:t>Porównanie parametrów</w:t>
            </w:r>
            <w:r w:rsidR="006A125A">
              <w:rPr>
                <w:noProof/>
                <w:webHidden/>
              </w:rPr>
              <w:tab/>
            </w:r>
            <w:r w:rsidR="006A125A">
              <w:rPr>
                <w:noProof/>
                <w:webHidden/>
              </w:rPr>
              <w:fldChar w:fldCharType="begin"/>
            </w:r>
            <w:r w:rsidR="006A125A">
              <w:rPr>
                <w:noProof/>
                <w:webHidden/>
              </w:rPr>
              <w:instrText xml:space="preserve"> PAGEREF _Toc461471005 \h </w:instrText>
            </w:r>
            <w:r w:rsidR="006A125A">
              <w:rPr>
                <w:noProof/>
                <w:webHidden/>
              </w:rPr>
            </w:r>
            <w:r w:rsidR="006A125A">
              <w:rPr>
                <w:noProof/>
                <w:webHidden/>
              </w:rPr>
              <w:fldChar w:fldCharType="separate"/>
            </w:r>
            <w:r w:rsidR="003743DB">
              <w:rPr>
                <w:noProof/>
                <w:webHidden/>
              </w:rPr>
              <w:t>25</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6" w:history="1">
            <w:r w:rsidR="006A125A" w:rsidRPr="008E4663">
              <w:rPr>
                <w:rStyle w:val="Hipercze"/>
                <w:noProof/>
                <w:lang w:bidi="x-none"/>
                <w14:scene3d>
                  <w14:camera w14:prst="orthographicFront"/>
                  <w14:lightRig w14:rig="threePt" w14:dir="t">
                    <w14:rot w14:lat="0" w14:lon="0" w14:rev="0"/>
                  </w14:lightRig>
                </w14:scene3d>
              </w:rPr>
              <w:t>3.7.</w:t>
            </w:r>
            <w:r w:rsidR="006A125A">
              <w:rPr>
                <w:rFonts w:cstheme="minorBidi"/>
                <w:noProof/>
                <w:sz w:val="22"/>
              </w:rPr>
              <w:tab/>
            </w:r>
            <w:r w:rsidR="006A125A" w:rsidRPr="008E4663">
              <w:rPr>
                <w:rStyle w:val="Hipercze"/>
                <w:noProof/>
              </w:rPr>
              <w:t>Porównanie jakościowe z eksperymentem</w:t>
            </w:r>
            <w:r w:rsidR="006A125A">
              <w:rPr>
                <w:noProof/>
                <w:webHidden/>
              </w:rPr>
              <w:tab/>
            </w:r>
            <w:r w:rsidR="006A125A">
              <w:rPr>
                <w:noProof/>
                <w:webHidden/>
              </w:rPr>
              <w:fldChar w:fldCharType="begin"/>
            </w:r>
            <w:r w:rsidR="006A125A">
              <w:rPr>
                <w:noProof/>
                <w:webHidden/>
              </w:rPr>
              <w:instrText xml:space="preserve"> PAGEREF _Toc461471006 \h </w:instrText>
            </w:r>
            <w:r w:rsidR="006A125A">
              <w:rPr>
                <w:noProof/>
                <w:webHidden/>
              </w:rPr>
            </w:r>
            <w:r w:rsidR="006A125A">
              <w:rPr>
                <w:noProof/>
                <w:webHidden/>
              </w:rPr>
              <w:fldChar w:fldCharType="separate"/>
            </w:r>
            <w:r w:rsidR="003743DB">
              <w:rPr>
                <w:noProof/>
                <w:webHidden/>
              </w:rPr>
              <w:t>26</w:t>
            </w:r>
            <w:r w:rsidR="006A125A">
              <w:rPr>
                <w:noProof/>
                <w:webHidden/>
              </w:rPr>
              <w:fldChar w:fldCharType="end"/>
            </w:r>
          </w:hyperlink>
        </w:p>
        <w:p w:rsidR="006A125A" w:rsidRDefault="0038633D">
          <w:pPr>
            <w:pStyle w:val="Spistreci2"/>
            <w:tabs>
              <w:tab w:val="left" w:pos="880"/>
              <w:tab w:val="right" w:leader="dot" w:pos="8777"/>
            </w:tabs>
            <w:rPr>
              <w:rFonts w:cstheme="minorBidi"/>
              <w:noProof/>
              <w:sz w:val="22"/>
            </w:rPr>
          </w:pPr>
          <w:hyperlink w:anchor="_Toc461471007" w:history="1">
            <w:r w:rsidR="006A125A" w:rsidRPr="008E4663">
              <w:rPr>
                <w:rStyle w:val="Hipercze"/>
                <w:noProof/>
                <w:lang w:bidi="x-none"/>
                <w14:scene3d>
                  <w14:camera w14:prst="orthographicFront"/>
                  <w14:lightRig w14:rig="threePt" w14:dir="t">
                    <w14:rot w14:lat="0" w14:lon="0" w14:rev="0"/>
                  </w14:lightRig>
                </w14:scene3d>
              </w:rPr>
              <w:t>3.8.</w:t>
            </w:r>
            <w:r w:rsidR="006A125A">
              <w:rPr>
                <w:rFonts w:cstheme="minorBidi"/>
                <w:noProof/>
                <w:sz w:val="22"/>
              </w:rPr>
              <w:tab/>
            </w:r>
            <w:r w:rsidR="006A125A" w:rsidRPr="008E4663">
              <w:rPr>
                <w:rStyle w:val="Hipercze"/>
                <w:noProof/>
              </w:rPr>
              <w:t>Porównanie ilościowe z eksperymentem</w:t>
            </w:r>
            <w:r w:rsidR="006A125A">
              <w:rPr>
                <w:noProof/>
                <w:webHidden/>
              </w:rPr>
              <w:tab/>
            </w:r>
            <w:r w:rsidR="006A125A">
              <w:rPr>
                <w:noProof/>
                <w:webHidden/>
              </w:rPr>
              <w:fldChar w:fldCharType="begin"/>
            </w:r>
            <w:r w:rsidR="006A125A">
              <w:rPr>
                <w:noProof/>
                <w:webHidden/>
              </w:rPr>
              <w:instrText xml:space="preserve"> PAGEREF _Toc461471007 \h </w:instrText>
            </w:r>
            <w:r w:rsidR="006A125A">
              <w:rPr>
                <w:noProof/>
                <w:webHidden/>
              </w:rPr>
            </w:r>
            <w:r w:rsidR="006A125A">
              <w:rPr>
                <w:noProof/>
                <w:webHidden/>
              </w:rPr>
              <w:fldChar w:fldCharType="separate"/>
            </w:r>
            <w:r w:rsidR="003743DB">
              <w:rPr>
                <w:noProof/>
                <w:webHidden/>
              </w:rPr>
              <w:t>28</w:t>
            </w:r>
            <w:r w:rsidR="006A125A">
              <w:rPr>
                <w:noProof/>
                <w:webHidden/>
              </w:rPr>
              <w:fldChar w:fldCharType="end"/>
            </w:r>
          </w:hyperlink>
        </w:p>
        <w:p w:rsidR="006A125A" w:rsidRDefault="0038633D">
          <w:pPr>
            <w:pStyle w:val="Spistreci1"/>
            <w:tabs>
              <w:tab w:val="left" w:pos="440"/>
              <w:tab w:val="right" w:leader="dot" w:pos="8777"/>
            </w:tabs>
            <w:rPr>
              <w:rFonts w:cstheme="minorBidi"/>
              <w:noProof/>
              <w:sz w:val="22"/>
            </w:rPr>
          </w:pPr>
          <w:hyperlink w:anchor="_Toc461471008" w:history="1">
            <w:r w:rsidR="006A125A" w:rsidRPr="008E4663">
              <w:rPr>
                <w:rStyle w:val="Hipercze"/>
                <w:noProof/>
              </w:rPr>
              <w:t>4.</w:t>
            </w:r>
            <w:r w:rsidR="006A125A">
              <w:rPr>
                <w:rFonts w:cstheme="minorBidi"/>
                <w:noProof/>
                <w:sz w:val="22"/>
              </w:rPr>
              <w:tab/>
            </w:r>
            <w:r w:rsidR="006A125A" w:rsidRPr="008E4663">
              <w:rPr>
                <w:rStyle w:val="Hipercze"/>
                <w:noProof/>
              </w:rPr>
              <w:t>Podsumowanie</w:t>
            </w:r>
            <w:r w:rsidR="006A125A">
              <w:rPr>
                <w:noProof/>
                <w:webHidden/>
              </w:rPr>
              <w:tab/>
            </w:r>
            <w:r w:rsidR="006A125A">
              <w:rPr>
                <w:noProof/>
                <w:webHidden/>
              </w:rPr>
              <w:fldChar w:fldCharType="begin"/>
            </w:r>
            <w:r w:rsidR="006A125A">
              <w:rPr>
                <w:noProof/>
                <w:webHidden/>
              </w:rPr>
              <w:instrText xml:space="preserve"> PAGEREF _Toc461471008 \h </w:instrText>
            </w:r>
            <w:r w:rsidR="006A125A">
              <w:rPr>
                <w:noProof/>
                <w:webHidden/>
              </w:rPr>
            </w:r>
            <w:r w:rsidR="006A125A">
              <w:rPr>
                <w:noProof/>
                <w:webHidden/>
              </w:rPr>
              <w:fldChar w:fldCharType="separate"/>
            </w:r>
            <w:r w:rsidR="003743DB">
              <w:rPr>
                <w:noProof/>
                <w:webHidden/>
              </w:rPr>
              <w:t>30</w:t>
            </w:r>
            <w:r w:rsidR="006A125A">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1" w:name="_Toc461470992"/>
      <w:r w:rsidRPr="00FB1852">
        <w:lastRenderedPageBreak/>
        <w:t>Wprowadzenie</w:t>
      </w:r>
      <w:bookmarkEnd w:id="1"/>
    </w:p>
    <w:p w:rsidR="005B13B6" w:rsidRPr="00534BE7" w:rsidRDefault="00FC2BDB" w:rsidP="005B13B6">
      <w:pPr>
        <w:pStyle w:val="Nagwek2"/>
        <w:ind w:hanging="371"/>
        <w:rPr>
          <w:szCs w:val="28"/>
        </w:rPr>
      </w:pPr>
      <w:bookmarkStart w:id="2" w:name="_Toc461470993"/>
      <w:r w:rsidRPr="00FC2BDB">
        <w:rPr>
          <w:szCs w:val="28"/>
        </w:rPr>
        <w:t>Wstęp</w:t>
      </w:r>
      <w:bookmarkEnd w:id="2"/>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End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EndPr/>
        <w:sdtContent>
          <w:r w:rsidR="00840A3D">
            <w:rPr>
              <w:szCs w:val="24"/>
            </w:rPr>
            <w:fldChar w:fldCharType="begin"/>
          </w:r>
          <w:r w:rsidR="00840A3D">
            <w:rPr>
              <w:szCs w:val="24"/>
            </w:rPr>
            <w:instrText xml:space="preserve"> CITATION Guo04 \l 1045 </w:instrText>
          </w:r>
          <w:r w:rsidR="00840A3D">
            <w:rPr>
              <w:szCs w:val="24"/>
            </w:rPr>
            <w:fldChar w:fldCharType="separate"/>
          </w:r>
          <w:r w:rsidR="00A90C20">
            <w:rPr>
              <w:noProof/>
              <w:szCs w:val="24"/>
            </w:rPr>
            <w:t xml:space="preserve"> </w:t>
          </w:r>
          <w:r w:rsidR="00A90C20" w:rsidRPr="00A90C2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EndPr/>
        <w:sdtContent>
          <w:r w:rsidR="005A018F">
            <w:rPr>
              <w:szCs w:val="24"/>
            </w:rPr>
            <w:fldChar w:fldCharType="begin"/>
          </w:r>
          <w:r w:rsidR="005A018F">
            <w:rPr>
              <w:szCs w:val="24"/>
            </w:rPr>
            <w:instrText xml:space="preserve"> CITATION Guo04 \l 1045 </w:instrText>
          </w:r>
          <w:r w:rsidR="005A018F">
            <w:rPr>
              <w:szCs w:val="24"/>
            </w:rPr>
            <w:fldChar w:fldCharType="separate"/>
          </w:r>
          <w:r w:rsidR="00A90C20" w:rsidRPr="00A90C2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EndPr/>
        <w:sdtContent>
          <w:r w:rsidR="00840A3D">
            <w:rPr>
              <w:szCs w:val="24"/>
            </w:rPr>
            <w:fldChar w:fldCharType="begin"/>
          </w:r>
          <w:r w:rsidR="00840A3D">
            <w:rPr>
              <w:szCs w:val="24"/>
            </w:rPr>
            <w:instrText xml:space="preserve"> CITATION Eom06 \l 1045 </w:instrText>
          </w:r>
          <w:r w:rsidR="00840A3D">
            <w:rPr>
              <w:szCs w:val="24"/>
            </w:rPr>
            <w:fldChar w:fldCharType="separate"/>
          </w:r>
          <w:r w:rsidR="00A90C20">
            <w:rPr>
              <w:noProof/>
              <w:szCs w:val="24"/>
            </w:rPr>
            <w:t xml:space="preserve"> </w:t>
          </w:r>
          <w:r w:rsidR="00A90C20" w:rsidRPr="00A90C2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End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A90C20" w:rsidRPr="00A90C2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23099980"/>
          <w:citation/>
        </w:sdtPr>
        <w:sdtEnd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End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End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End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A90C20" w:rsidRPr="00A90C20">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End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A90C20" w:rsidRPr="00A90C20">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3" w:name="_Toc461470994"/>
      <w:r w:rsidRPr="00FC2BDB">
        <w:rPr>
          <w:rFonts w:eastAsiaTheme="minorEastAsia"/>
          <w:szCs w:val="28"/>
        </w:rPr>
        <w:t>Cel pracy</w:t>
      </w:r>
      <w:bookmarkEnd w:id="3"/>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470996"/>
      <w:r>
        <w:lastRenderedPageBreak/>
        <w:t>Informacje teoretyczne</w:t>
      </w:r>
      <w:bookmarkEnd w:id="4"/>
    </w:p>
    <w:p w:rsidR="005B13B6" w:rsidRPr="00534BE7" w:rsidRDefault="002223FF" w:rsidP="005B13B6">
      <w:pPr>
        <w:pStyle w:val="Nagwek2"/>
        <w:rPr>
          <w:szCs w:val="28"/>
        </w:rPr>
      </w:pPr>
      <w:bookmarkStart w:id="5" w:name="_Toc461470997"/>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EndPr/>
        <w:sdtContent>
          <w:r w:rsidR="007A3414">
            <w:rPr>
              <w:szCs w:val="24"/>
            </w:rPr>
            <w:fldChar w:fldCharType="begin"/>
          </w:r>
          <w:r w:rsidR="007A3414">
            <w:rPr>
              <w:szCs w:val="24"/>
            </w:rPr>
            <w:instrText xml:space="preserve"> CITATION 1608 \l 1045 </w:instrText>
          </w:r>
          <w:r w:rsidR="007A3414">
            <w:rPr>
              <w:szCs w:val="24"/>
            </w:rPr>
            <w:fldChar w:fldCharType="separate"/>
          </w:r>
          <w:r w:rsidR="00A90C20" w:rsidRPr="00A90C20">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EndPr/>
        <w:sdtContent>
          <w:r w:rsidR="007A3414">
            <w:rPr>
              <w:szCs w:val="24"/>
            </w:rPr>
            <w:fldChar w:fldCharType="begin"/>
          </w:r>
          <w:r w:rsidR="007A3414">
            <w:rPr>
              <w:szCs w:val="24"/>
            </w:rPr>
            <w:instrText xml:space="preserve"> CITATION Flo10 \l 1045 </w:instrText>
          </w:r>
          <w:r w:rsidR="007A3414">
            <w:rPr>
              <w:szCs w:val="24"/>
            </w:rPr>
            <w:fldChar w:fldCharType="separate"/>
          </w:r>
          <w:r w:rsidR="00A90C20" w:rsidRPr="00A90C20">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38633D"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3743DB">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470998"/>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3743DB">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4F1F609F" wp14:editId="01CA933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435762"/>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3743DB">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38633D"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3743DB">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38633D"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3743DB">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743DB" w:rsidRPr="00191C79">
        <w:rPr>
          <w:szCs w:val="24"/>
        </w:rPr>
        <w:t>(</w:t>
      </w:r>
      <w:r w:rsidR="003743DB">
        <w:rPr>
          <w:noProof/>
          <w:szCs w:val="24"/>
        </w:rPr>
        <w:t>2</w:t>
      </w:r>
      <w:r w:rsidR="003743DB"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743DB" w:rsidRPr="00191C79">
        <w:rPr>
          <w:rFonts w:eastAsiaTheme="minorEastAsia"/>
          <w:szCs w:val="24"/>
        </w:rPr>
        <w:t>(</w:t>
      </w:r>
      <w:r w:rsidR="003743DB">
        <w:rPr>
          <w:rFonts w:eastAsiaTheme="minorEastAsia"/>
          <w:noProof/>
          <w:szCs w:val="24"/>
        </w:rPr>
        <w:t>3</w:t>
      </w:r>
      <w:r w:rsidR="003743DB"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743DB" w:rsidRPr="008B5BB0">
        <w:rPr>
          <w:szCs w:val="24"/>
        </w:rPr>
        <w:t>(</w:t>
      </w:r>
      <w:r w:rsidR="003743DB">
        <w:rPr>
          <w:noProof/>
          <w:szCs w:val="24"/>
        </w:rPr>
        <w:t>1</w:t>
      </w:r>
      <w:r w:rsidR="003743DB"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38633D"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3743DB">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3743DB">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38633D"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3743DB">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38633D"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3743DB">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37EB4EB" wp14:editId="3EEF729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435763"/>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3743DB">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38633D"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3743DB">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3743DB" w:rsidRPr="003743DB">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3743DB">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3743DB">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3743DB">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3743DB">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3743DB">
        <w:t>(</w:t>
      </w:r>
      <w:r w:rsidR="003743DB">
        <w:rPr>
          <w:noProof/>
        </w:rPr>
        <w:t>13</w:t>
      </w:r>
      <w:r w:rsidR="003743DB">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3743DB">
        <w:t>(</w:t>
      </w:r>
      <w:r w:rsidR="003743DB">
        <w:rPr>
          <w:noProof/>
        </w:rPr>
        <w:t>14</w:t>
      </w:r>
      <w:r w:rsidR="003743DB">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38633D"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38633D"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3743DB">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3743DB">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3743DB">
        <w:t>(</w:t>
      </w:r>
      <w:r w:rsidR="003743DB">
        <w:rPr>
          <w:noProof/>
        </w:rPr>
        <w:t>20</w:t>
      </w:r>
      <w:r w:rsidR="003743DB">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3743DB">
        <w:t>(</w:t>
      </w:r>
      <w:r w:rsidR="003743DB">
        <w:rPr>
          <w:noProof/>
        </w:rPr>
        <w:t>20</w:t>
      </w:r>
      <w:r w:rsidR="003743DB">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3743DB">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3743DB">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3743DB" w:rsidRPr="003743DB">
        <w:t>(</w:t>
      </w:r>
      <w:r w:rsidR="003743DB" w:rsidRPr="003743DB">
        <w:rPr>
          <w:noProof/>
        </w:rPr>
        <w:t>7</w:t>
      </w:r>
      <w:r w:rsidR="003743DB" w:rsidRPr="003743DB">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3743DB">
        <w:t>(</w:t>
      </w:r>
      <w:r w:rsidR="003743DB">
        <w:rPr>
          <w:noProof/>
        </w:rPr>
        <w:t>19</w:t>
      </w:r>
      <w:r w:rsidR="003743DB">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3743DB">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38633D"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3743DB">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38633D"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fldSimple w:instr=" SEQ Równanie \* ARABIC ">
              <w:r w:rsidR="003743DB">
                <w:rPr>
                  <w:noProof/>
                </w:rPr>
                <w:t>27</w:t>
              </w:r>
            </w:fldSimple>
            <w:r>
              <w:t>)</w:t>
            </w:r>
            <w:bookmarkEnd w:id="22"/>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3" w:name="_Toc461470999"/>
      <w:r>
        <w:lastRenderedPageBreak/>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471000"/>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3743DB">
        <w:t>(</w:t>
      </w:r>
      <w:r w:rsidR="003743DB">
        <w:rPr>
          <w:noProof/>
        </w:rPr>
        <w:t>27</w:t>
      </w:r>
      <w:r w:rsidR="003743DB">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3743DB">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3743DB">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3743DB">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38633D"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38633D"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38633D"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3743DB">
        <w:rPr>
          <w:b/>
          <w:i w:val="0"/>
          <w:noProof/>
          <w:color w:val="auto"/>
          <w:sz w:val="24"/>
          <w:szCs w:val="24"/>
        </w:rPr>
        <w:t>2</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38633D"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471001"/>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3743DB">
        <w:t>(</w:t>
      </w:r>
      <w:r w:rsidR="003743DB">
        <w:rPr>
          <w:noProof/>
        </w:rPr>
        <w:t>27</w:t>
      </w:r>
      <w:r w:rsidR="003743DB">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Dla temperatur bliskich zeru (czyli takich z jakimi będziemy mieli do czynienia w tej pracy) potencjał chemiczny można utożsamiać z energią Fe</w:t>
      </w:r>
      <w:proofErr w:type="spellStart"/>
      <w:r>
        <w:rPr>
          <w:szCs w:val="24"/>
        </w:rPr>
        <w:t>rmiego</w:t>
      </w:r>
      <w:proofErr w:type="spellEnd"/>
      <w:r>
        <w:rPr>
          <w:szCs w:val="24"/>
        </w:rPr>
        <w:t xml:space="preserve">,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EndPr/>
        <w:sdtContent>
          <w:r w:rsidR="00A90C20">
            <w:rPr>
              <w:szCs w:val="24"/>
            </w:rPr>
            <w:fldChar w:fldCharType="begin"/>
          </w:r>
          <w:r w:rsidR="00A90C20">
            <w:rPr>
              <w:szCs w:val="24"/>
            </w:rPr>
            <w:instrText xml:space="preserve"> CITATION 1609 \l 1045 </w:instrText>
          </w:r>
          <w:r w:rsidR="00A90C20">
            <w:rPr>
              <w:szCs w:val="24"/>
            </w:rPr>
            <w:fldChar w:fldCharType="separate"/>
          </w:r>
          <w:r w:rsidR="00A90C20" w:rsidRPr="00A90C20">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38633D"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38633D"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3743DB">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435764"/>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3743DB">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471002"/>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3743DB">
        <w:t>(</w:t>
      </w:r>
      <w:r w:rsidR="003743DB">
        <w:rPr>
          <w:noProof/>
        </w:rPr>
        <w:t>27</w:t>
      </w:r>
      <w:r w:rsidR="003743DB">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3743DB">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3743DB">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12F0BAFF" wp14:editId="38428D32">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51"/>
      <w:bookmarkStart w:id="33" w:name="_Ref461349746"/>
      <w:bookmarkStart w:id="34" w:name="_Toc461435765"/>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3743DB">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3"/>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w:t>
      </w:r>
      <w:proofErr w:type="spellStart"/>
      <w:r w:rsidR="00792B9A">
        <w:rPr>
          <w:rFonts w:eastAsiaTheme="minorEastAsia"/>
        </w:rPr>
        <w:t>dem</w:t>
      </w:r>
      <w:proofErr w:type="spellEnd"/>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6C2F98B8" wp14:editId="7902B7B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F51F62">
      <w:pPr>
        <w:pStyle w:val="Legenda"/>
        <w:jc w:val="center"/>
        <w:rPr>
          <w:rFonts w:eastAsiaTheme="minorEastAsia"/>
          <w:i w:val="0"/>
          <w:color w:val="auto"/>
          <w:sz w:val="24"/>
        </w:rPr>
      </w:pPr>
      <w:bookmarkStart w:id="35" w:name="_Ref461361985"/>
      <w:bookmarkStart w:id="36" w:name="_Toc461435766"/>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3743DB">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w:t>
      </w:r>
      <w:proofErr w:type="spellStart"/>
      <w:r w:rsidRPr="00685998">
        <w:rPr>
          <w:i w:val="0"/>
          <w:color w:val="auto"/>
          <w:sz w:val="24"/>
        </w:rPr>
        <w:t>az</w:t>
      </w:r>
      <w:proofErr w:type="spellEnd"/>
      <w:r w:rsidRPr="00685998">
        <w:rPr>
          <w:i w:val="0"/>
          <w:color w:val="auto"/>
          <w:sz w:val="24"/>
        </w:rPr>
        <w:t xml:space="preserve"> (d) </w:t>
      </w:r>
      <m:oMath>
        <m:r>
          <w:rPr>
            <w:rFonts w:ascii="Cambria Math" w:hAnsi="Cambria Math"/>
            <w:color w:val="auto"/>
            <w:sz w:val="24"/>
          </w:rPr>
          <m:t>1,78 nm</m:t>
        </m:r>
      </m:oMath>
      <w:bookmarkEnd w:id="36"/>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3743DB">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3743D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84EBE78" wp14:editId="7FEDFD72">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435767"/>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3743DB">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471003"/>
      <w:r>
        <w:lastRenderedPageBreak/>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3743DB">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6821085B" wp14:editId="564A7455">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435768"/>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3743DB">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nanowarstw</w:t>
      </w:r>
      <w:proofErr w:type="spellEnd"/>
      <w:r w:rsidR="00F51F62" w:rsidRPr="001123B4">
        <w:t xml:space="preserve"> o grubości: (a) </w:t>
      </w:r>
      <m:oMath>
        <m:r>
          <m:rPr>
            <m:sty m:val="p"/>
          </m:rPr>
          <w:rPr>
            <w:rFonts w:ascii="Cambria Math" w:hAnsi="Cambria Math"/>
          </w:rPr>
          <m:t xml:space="preserve">1,06 </m:t>
        </m:r>
        <m:r>
          <w:rPr>
            <w:rFonts w:ascii="Cambria Math" w:hAnsi="Cambria Math"/>
          </w:rPr>
          <m:t>nm</m:t>
        </m:r>
      </m:oMath>
      <w:r w:rsidR="00F51F62" w:rsidRPr="001123B4">
        <w:t xml:space="preserve">, (b) </w:t>
      </w:r>
      <m:oMath>
        <m:r>
          <m:rPr>
            <m:sty m:val="p"/>
          </m:rPr>
          <w:rPr>
            <w:rFonts w:ascii="Cambria Math" w:hAnsi="Cambria Math"/>
          </w:rPr>
          <m:t xml:space="preserve">1,10 </m:t>
        </m:r>
        <m:r>
          <w:rPr>
            <w:rFonts w:ascii="Cambria Math" w:hAnsi="Cambria Math"/>
          </w:rPr>
          <m:t>nm</m:t>
        </m:r>
      </m:oMath>
      <w:r w:rsidR="00F51F62" w:rsidRPr="001123B4">
        <w:t xml:space="preserve">, (c) </w:t>
      </w:r>
      <m:oMath>
        <m:r>
          <m:rPr>
            <m:sty m:val="p"/>
          </m:rPr>
          <w:rPr>
            <w:rFonts w:ascii="Cambria Math" w:hAnsi="Cambria Math"/>
          </w:rPr>
          <m:t xml:space="preserve">1, 72 </m:t>
        </m:r>
        <m:r>
          <w:rPr>
            <w:rFonts w:ascii="Cambria Math" w:hAnsi="Cambria Math"/>
          </w:rPr>
          <m:t>nm</m:t>
        </m:r>
      </m:oMath>
      <w:r w:rsidR="00F51F62" w:rsidRPr="001123B4">
        <w:t xml:space="preserve"> oraz (d) </w:t>
      </w:r>
      <m:oMath>
        <m:r>
          <m:rPr>
            <m:sty m:val="p"/>
          </m:rPr>
          <w:rPr>
            <w:rFonts w:ascii="Cambria Math" w:hAnsi="Cambria Math"/>
          </w:rPr>
          <m:t xml:space="preserve">1,78 </m:t>
        </m:r>
        <m:r>
          <w:rPr>
            <w:rFonts w:ascii="Cambria Math" w:hAnsi="Cambria Math"/>
          </w:rPr>
          <m:t>nm</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3743DB">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15DC297" wp14:editId="04FEC8F1">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435769"/>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3743DB">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3743DB">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glinu o grubości makroskopowej, do której wykres powinien się zbiegać wraz ze wz</w:t>
      </w:r>
      <w:proofErr w:type="spellStart"/>
      <w:r w:rsidR="00E17A99">
        <w:rPr>
          <w:rFonts w:eastAsiaTheme="minorEastAsia"/>
        </w:rPr>
        <w:t>r</w:t>
      </w:r>
      <w:r w:rsidR="00381472">
        <w:rPr>
          <w:rFonts w:eastAsiaTheme="minorEastAsia"/>
        </w:rPr>
        <w:t>ostem</w:t>
      </w:r>
      <w:proofErr w:type="spellEnd"/>
      <w:r w:rsidR="00381472">
        <w:rPr>
          <w:rFonts w:eastAsiaTheme="minorEastAsia"/>
        </w:rPr>
        <w:t xml:space="preserve">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471004"/>
      <w:r>
        <w:lastRenderedPageBreak/>
        <w:t xml:space="preserve">Inne </w:t>
      </w:r>
      <w:r w:rsidRPr="00534BE7">
        <w:t>metale</w:t>
      </w:r>
      <w:bookmarkEnd w:id="44"/>
    </w:p>
    <w:p w:rsidR="00A64FFF" w:rsidRPr="00A64FFF" w:rsidRDefault="00A64FFF" w:rsidP="00DB7B6B">
      <w:pPr>
        <w:spacing w:line="360" w:lineRule="auto"/>
        <w:ind w:firstLine="709"/>
        <w:jc w:val="both"/>
      </w:pPr>
      <w:r>
        <w:t xml:space="preserve">Korzystając z tabeli </w:t>
      </w:r>
      <w:r>
        <w:fldChar w:fldCharType="begin"/>
      </w:r>
      <w:r>
        <w:instrText xml:space="preserve"> REF _Ref461287588 \h </w:instrText>
      </w:r>
      <w:r>
        <w:fldChar w:fldCharType="separate"/>
      </w:r>
      <w:r w:rsidR="003743DB" w:rsidRPr="00F175C5">
        <w:rPr>
          <w:b/>
          <w:szCs w:val="24"/>
        </w:rPr>
        <w:t xml:space="preserve">Tabela </w:t>
      </w:r>
      <w:r w:rsidR="003743DB">
        <w:rPr>
          <w:b/>
          <w:i/>
          <w:noProof/>
          <w:szCs w:val="24"/>
        </w:rPr>
        <w:t>2</w:t>
      </w:r>
      <w:r>
        <w:fldChar w:fldCharType="end"/>
      </w:r>
      <w:r>
        <w:t xml:space="preserve"> przeprowadzono także symulacje dla innych metali tj. kadmu, cyny oraz ołowiu i wyniki prezentujące wykresy temperatur krytycznych od grubości </w:t>
      </w:r>
      <w:proofErr w:type="spellStart"/>
      <w:r>
        <w:t>nanowarstw</w:t>
      </w:r>
      <w:proofErr w:type="spellEnd"/>
      <w:r>
        <w:t xml:space="preserve"> przedstawiono na rys. </w:t>
      </w:r>
      <w:r>
        <w:fldChar w:fldCharType="begin"/>
      </w:r>
      <w:r>
        <w:instrText xml:space="preserve"> REF _Ref461446633 \h </w:instrText>
      </w:r>
      <w:r>
        <w:fldChar w:fldCharType="separate"/>
      </w:r>
      <w:r w:rsidR="003743DB" w:rsidRPr="00F51F62">
        <w:rPr>
          <w:b/>
        </w:rPr>
        <w:t xml:space="preserve">Rysunek </w:t>
      </w:r>
      <w:r w:rsidR="003743DB">
        <w:rPr>
          <w:b/>
          <w:noProof/>
        </w:rPr>
        <w:t>9</w:t>
      </w:r>
      <w:r>
        <w:fldChar w:fldCharType="end"/>
      </w:r>
      <w:r>
        <w:t xml:space="preserve">. </w:t>
      </w:r>
      <w:r w:rsidR="005168AF">
        <w:t xml:space="preserve">Na wszystkich wykresach otrzymano gasnące oscylacje, które zbliżają się do wartości bliskich makroskopowym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xml:space="preserve">. Największe wzmocnienie temperatury krytycznej zaobserwowano dla kadmu równe </w:t>
      </w:r>
      <m:oMath>
        <m:r>
          <w:rPr>
            <w:rFonts w:ascii="Cambria Math" w:eastAsiaTheme="minorEastAsia" w:hAnsi="Cambria Math"/>
          </w:rPr>
          <m:t>4,55 K</m:t>
        </m:r>
      </m:oMath>
      <w:r w:rsidR="005168AF">
        <w:rPr>
          <w:rFonts w:eastAsiaTheme="minorEastAsia"/>
        </w:rPr>
        <w:t xml:space="preserve"> </w:t>
      </w:r>
      <w:r w:rsidR="001A5A9D">
        <w:rPr>
          <w:rFonts w:eastAsiaTheme="minorEastAsia"/>
        </w:rPr>
        <w:t xml:space="preserve">w </w:t>
      </w:r>
      <w:proofErr w:type="spellStart"/>
      <w:r w:rsidR="001A5A9D">
        <w:rPr>
          <w:rFonts w:eastAsiaTheme="minorEastAsia"/>
        </w:rPr>
        <w:t>porównaiu</w:t>
      </w:r>
      <w:proofErr w:type="spellEnd"/>
      <w:r w:rsidR="001A5A9D">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 nm</m:t>
        </m:r>
      </m:oMath>
      <w:r w:rsidR="005168AF">
        <w:rPr>
          <w:rFonts w:eastAsiaTheme="minorEastAsia"/>
        </w:rPr>
        <w:t xml:space="preserve">, natomiast najwyższe bezwzględne temperatury krytyczne osiągnięto dla ołowiu (rys. </w:t>
      </w:r>
      <w:r w:rsidR="005168AF">
        <w:rPr>
          <w:rFonts w:eastAsiaTheme="minorEastAsia"/>
        </w:rPr>
        <w:fldChar w:fldCharType="begin"/>
      </w:r>
      <w:r w:rsidR="005168AF">
        <w:rPr>
          <w:rFonts w:eastAsiaTheme="minorEastAsia"/>
        </w:rPr>
        <w:instrText xml:space="preserve"> REF _Ref461446633 \h </w:instrText>
      </w:r>
      <w:r w:rsidR="005168AF">
        <w:rPr>
          <w:rFonts w:eastAsiaTheme="minorEastAsia"/>
        </w:rPr>
      </w:r>
      <w:r w:rsidR="005168AF">
        <w:rPr>
          <w:rFonts w:eastAsiaTheme="minorEastAsia"/>
        </w:rPr>
        <w:fldChar w:fldCharType="separate"/>
      </w:r>
      <w:r w:rsidR="003743DB" w:rsidRPr="00F51F62">
        <w:rPr>
          <w:b/>
        </w:rPr>
        <w:t xml:space="preserve">Rysunek </w:t>
      </w:r>
      <w:r w:rsidR="003743DB">
        <w:rPr>
          <w:b/>
          <w:noProo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 nm</m:t>
        </m:r>
      </m:oMath>
      <w:r w:rsidR="005168AF">
        <w:rPr>
          <w:rFonts w:eastAsiaTheme="minorEastAsia"/>
        </w:rPr>
        <w:t xml:space="preserve"> temperatura krytyczna wyniosła </w:t>
      </w:r>
      <m:oMath>
        <m:r>
          <w:rPr>
            <w:rFonts w:ascii="Cambria Math" w:eastAsiaTheme="minorEastAsia" w:hAnsi="Cambria Math"/>
          </w:rPr>
          <m:t>19,65 K</m:t>
        </m:r>
      </m:oMath>
      <w:r w:rsidR="005168AF">
        <w:rPr>
          <w:rFonts w:eastAsiaTheme="minorEastAsia"/>
        </w:rPr>
        <w:t xml:space="preserve">. Nic więc dziwnego, że nanowarstwy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 [][][]][][</w:t>
      </w:r>
      <w:r w:rsidR="005C7CA4">
        <w:rPr>
          <w:rFonts w:eastAsiaTheme="minorEastAsia"/>
        </w:rPr>
        <w:t>]</w:t>
      </w:r>
      <w:r w:rsidR="005168AF">
        <w:rPr>
          <w:rFonts w:eastAsiaTheme="minorEastAsia"/>
        </w:rPr>
        <w:t>.</w:t>
      </w:r>
    </w:p>
    <w:p w:rsidR="00F51F62" w:rsidRDefault="003A588B" w:rsidP="00F51F62">
      <w:pPr>
        <w:keepNext/>
      </w:pPr>
      <w:r w:rsidRPr="003A588B">
        <w:rPr>
          <w:noProof/>
          <w:lang w:eastAsia="pl-PL"/>
        </w:rPr>
        <w:drawing>
          <wp:inline distT="0" distB="0" distL="0" distR="0" wp14:anchorId="6105FB79" wp14:editId="3D8D2CD2">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pPr>
      <w:bookmarkStart w:id="45" w:name="_Ref461446633"/>
      <w:bookmarkStart w:id="46" w:name="_Toc461435770"/>
      <w:bookmarkStart w:id="47" w:name="_Ref461446630"/>
      <w:bookmarkStart w:id="48" w:name="_Ref461459871"/>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3743DB">
        <w:rPr>
          <w:b/>
          <w:noProof/>
        </w:rPr>
        <w:t>9</w:t>
      </w:r>
      <w:r w:rsidRPr="00F51F62">
        <w:rPr>
          <w:b/>
        </w:rPr>
        <w:fldChar w:fldCharType="end"/>
      </w:r>
      <w:bookmarkEnd w:id="45"/>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od grubości nanowarstwy </w:t>
      </w:r>
      <m:oMath>
        <m:r>
          <w:rPr>
            <w:rFonts w:ascii="Cambria Math" w:hAnsi="Cambria Math"/>
          </w:rPr>
          <m:t>L</m:t>
        </m:r>
      </m:oMath>
      <w:r>
        <w:t xml:space="preserve"> dla metali: (a) </w:t>
      </w:r>
      <m:oMath>
        <m:r>
          <w:rPr>
            <w:rFonts w:ascii="Cambria Math" w:hAnsi="Cambria Math"/>
          </w:rPr>
          <m:t>Al</m:t>
        </m:r>
      </m:oMath>
      <w:r>
        <w:t xml:space="preserve">, (b) </w:t>
      </w:r>
      <m:oMath>
        <m:r>
          <w:rPr>
            <w:rFonts w:ascii="Cambria Math" w:hAnsi="Cambria Math"/>
          </w:rPr>
          <m:t>Cd</m:t>
        </m:r>
      </m:oMath>
      <w:r>
        <w:t xml:space="preserve">, (c) </w:t>
      </w:r>
      <m:oMath>
        <m:r>
          <w:rPr>
            <w:rFonts w:ascii="Cambria Math" w:hAnsi="Cambria Math"/>
          </w:rPr>
          <m:t>Sn</m:t>
        </m:r>
      </m:oMath>
      <w:r>
        <w:t xml:space="preserve"> oraz (d) </w:t>
      </w:r>
      <m:oMath>
        <m:r>
          <w:rPr>
            <w:rFonts w:ascii="Cambria Math" w:hAnsi="Cambria Math"/>
          </w:rPr>
          <m:t>Pb</m:t>
        </m:r>
      </m:oMath>
      <w:bookmarkEnd w:id="46"/>
      <w:bookmarkEnd w:id="47"/>
      <w:bookmarkEnd w:id="48"/>
    </w:p>
    <w:p w:rsidR="00554E0C" w:rsidRDefault="00554E0C" w:rsidP="00534BE7">
      <w:pPr>
        <w:pStyle w:val="Nagwek2"/>
      </w:pPr>
      <w:bookmarkStart w:id="49" w:name="_Toc461471005"/>
      <w:r w:rsidRPr="00534BE7">
        <w:lastRenderedPageBreak/>
        <w:t>Porównanie</w:t>
      </w:r>
      <w:r>
        <w:t xml:space="preserve"> parametrów</w:t>
      </w:r>
      <w:bookmarkEnd w:id="49"/>
    </w:p>
    <w:p w:rsidR="004A0D50" w:rsidRPr="004A0D50" w:rsidRDefault="004A0D50" w:rsidP="00DB7B6B">
      <w:pPr>
        <w:spacing w:line="360" w:lineRule="auto"/>
        <w:ind w:firstLine="709"/>
        <w:jc w:val="both"/>
      </w:pPr>
      <w:r>
        <w:t xml:space="preserve">Sprawdzono też zachowanie przerwy nadprzewodzącej </w:t>
      </w:r>
      <m:oMath>
        <m:r>
          <w:rPr>
            <w:rFonts w:ascii="Cambria Math" w:hAnsi="Cambria Math"/>
          </w:rPr>
          <m:t>∆</m:t>
        </m:r>
      </m:oMath>
      <w:r>
        <w:rPr>
          <w:rFonts w:eastAsiaTheme="minorEastAsia"/>
        </w:rPr>
        <w:t xml:space="preserve"> względem energii </w:t>
      </w:r>
      <w:proofErr w:type="spellStart"/>
      <w:r>
        <w:rPr>
          <w:rFonts w:eastAsiaTheme="minorEastAsia"/>
        </w:rPr>
        <w:t>Debye’a</w:t>
      </w:r>
      <w:proofErr w:type="spellEnd"/>
      <w:r>
        <w:rPr>
          <w:rFonts w:eastAsiaTheme="minorEastAsia"/>
        </w:rPr>
        <w:t xml:space="preserve"> (rys. </w:t>
      </w:r>
      <w:r>
        <w:rPr>
          <w:rFonts w:eastAsiaTheme="minorEastAsia"/>
        </w:rPr>
        <w:fldChar w:fldCharType="begin"/>
      </w:r>
      <w:r>
        <w:rPr>
          <w:rFonts w:eastAsiaTheme="minorEastAsia"/>
        </w:rPr>
        <w:instrText xml:space="preserve"> REF _Ref461455634 \h </w:instrText>
      </w:r>
      <w:r>
        <w:rPr>
          <w:rFonts w:eastAsiaTheme="minorEastAsia"/>
        </w:rPr>
      </w:r>
      <w:r>
        <w:rPr>
          <w:rFonts w:eastAsiaTheme="minorEastAsia"/>
        </w:rPr>
        <w:fldChar w:fldCharType="separate"/>
      </w:r>
      <w:r w:rsidR="003743DB" w:rsidRPr="00595E04">
        <w:rPr>
          <w:b/>
        </w:rPr>
        <w:t xml:space="preserve">Rysunek </w:t>
      </w:r>
      <w:r w:rsidR="003743DB">
        <w:rPr>
          <w:b/>
          <w:noProof/>
        </w:rPr>
        <w:t>10</w:t>
      </w:r>
      <w:r>
        <w:rPr>
          <w:rFonts w:eastAsiaTheme="minorEastAsia"/>
        </w:rPr>
        <w:fldChar w:fldCharType="end"/>
      </w:r>
      <w:r>
        <w:rPr>
          <w:rFonts w:eastAsiaTheme="minorEastAsia"/>
        </w:rPr>
        <w:t xml:space="preserve">(a)) oraz stałej sprzężenia elektron – fonon (rys. </w:t>
      </w:r>
      <w:r>
        <w:rPr>
          <w:rFonts w:eastAsiaTheme="minorEastAsia"/>
        </w:rPr>
        <w:fldChar w:fldCharType="begin"/>
      </w:r>
      <w:r>
        <w:rPr>
          <w:rFonts w:eastAsiaTheme="minorEastAsia"/>
        </w:rPr>
        <w:instrText xml:space="preserve"> REF _Ref461455634 \h </w:instrText>
      </w:r>
      <w:r>
        <w:rPr>
          <w:rFonts w:eastAsiaTheme="minorEastAsia"/>
        </w:rPr>
      </w:r>
      <w:r>
        <w:rPr>
          <w:rFonts w:eastAsiaTheme="minorEastAsia"/>
        </w:rPr>
        <w:fldChar w:fldCharType="separate"/>
      </w:r>
      <w:r w:rsidR="003743DB" w:rsidRPr="00595E04">
        <w:rPr>
          <w:b/>
        </w:rPr>
        <w:t xml:space="preserve">Rysunek </w:t>
      </w:r>
      <w:r w:rsidR="003743DB">
        <w:rPr>
          <w:b/>
          <w:noProof/>
        </w:rPr>
        <w:t>10</w:t>
      </w:r>
      <w:r>
        <w:rPr>
          <w:rFonts w:eastAsiaTheme="minorEastAsia"/>
        </w:rPr>
        <w:fldChar w:fldCharType="end"/>
      </w:r>
      <w:r>
        <w:rPr>
          <w:rFonts w:eastAsiaTheme="minorEastAsia"/>
        </w:rPr>
        <w:t xml:space="preserve">(b)). </w:t>
      </w:r>
      <w:r w:rsidR="00E14297">
        <w:rPr>
          <w:rFonts w:eastAsiaTheme="minorEastAsia"/>
        </w:rPr>
        <w:t xml:space="preserve">Zwiększenie obu parametrów prowadzi do wzrostu bezwzględnej wartości przerwy nadprzewodzącej </w:t>
      </w:r>
      <m:oMath>
        <m:r>
          <w:rPr>
            <w:rFonts w:ascii="Cambria Math" w:eastAsiaTheme="minorEastAsia" w:hAnsi="Cambria Math"/>
          </w:rPr>
          <m:t>∆</m:t>
        </m:r>
      </m:oMath>
      <w:r w:rsidR="000C4B29">
        <w:rPr>
          <w:rFonts w:eastAsiaTheme="minorEastAsia"/>
        </w:rPr>
        <w:t xml:space="preserve">, jednak względne oscylacje ulegają zmniejszeniu np. na rys. </w:t>
      </w:r>
      <w:r w:rsidR="000C4B29">
        <w:rPr>
          <w:rFonts w:eastAsiaTheme="minorEastAsia"/>
        </w:rPr>
        <w:fldChar w:fldCharType="begin"/>
      </w:r>
      <w:r w:rsidR="000C4B29">
        <w:rPr>
          <w:rFonts w:eastAsiaTheme="minorEastAsia"/>
        </w:rPr>
        <w:instrText xml:space="preserve"> REF _Ref461455634 \h </w:instrText>
      </w:r>
      <w:r w:rsidR="000C4B29">
        <w:rPr>
          <w:rFonts w:eastAsiaTheme="minorEastAsia"/>
        </w:rPr>
      </w:r>
      <w:r w:rsidR="000C4B29">
        <w:rPr>
          <w:rFonts w:eastAsiaTheme="minorEastAsia"/>
        </w:rPr>
        <w:fldChar w:fldCharType="separate"/>
      </w:r>
      <w:r w:rsidR="003743DB" w:rsidRPr="00595E04">
        <w:rPr>
          <w:b/>
        </w:rPr>
        <w:t xml:space="preserve">Rysunek </w:t>
      </w:r>
      <w:r w:rsidR="003743DB">
        <w:rPr>
          <w:b/>
          <w:noProof/>
        </w:rPr>
        <w:t>10</w:t>
      </w:r>
      <w:r w:rsidR="000C4B29">
        <w:rPr>
          <w:rFonts w:eastAsiaTheme="minorEastAsia"/>
        </w:rPr>
        <w:fldChar w:fldCharType="end"/>
      </w:r>
      <w:r w:rsidR="000C4B29">
        <w:rPr>
          <w:rFonts w:eastAsiaTheme="minorEastAsia"/>
        </w:rPr>
        <w:t xml:space="preserve">(a)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 meV</m:t>
        </m:r>
      </m:oMath>
      <w:r w:rsidR="000C4B29">
        <w:rPr>
          <w:rFonts w:eastAsiaTheme="minorEastAsia"/>
        </w:rPr>
        <w:t xml:space="preserve"> pomiędzy najmniejszą wartością </w:t>
      </w:r>
      <m:oMath>
        <m:r>
          <w:rPr>
            <w:rFonts w:ascii="Cambria Math" w:eastAsiaTheme="minorEastAsia" w:hAnsi="Cambria Math"/>
          </w:rPr>
          <m:t>∆</m:t>
        </m:r>
      </m:oMath>
      <w:r w:rsidR="000C4B29">
        <w:rPr>
          <w:rFonts w:eastAsiaTheme="minorEastAsia"/>
        </w:rPr>
        <w:t xml:space="preserve">, a największą jest 12-krotna różnica,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 meV</m:t>
        </m:r>
      </m:oMath>
      <w:r w:rsidR="000C4B29">
        <w:rPr>
          <w:rFonts w:eastAsiaTheme="minorEastAsia"/>
        </w:rPr>
        <w:t xml:space="preserve"> jest</w:t>
      </w:r>
      <w:r w:rsidR="00FC0BA7">
        <w:rPr>
          <w:rFonts w:eastAsiaTheme="minorEastAsia"/>
        </w:rPr>
        <w:t xml:space="preserve"> ok.</w:t>
      </w:r>
      <w:r w:rsidR="000C4B29">
        <w:rPr>
          <w:rFonts w:eastAsiaTheme="minorEastAsia"/>
        </w:rPr>
        <w:t xml:space="preserve"> </w:t>
      </w:r>
      <w:r w:rsidR="00FC0BA7">
        <w:rPr>
          <w:rFonts w:eastAsiaTheme="minorEastAsia"/>
        </w:rPr>
        <w:t>9</w:t>
      </w:r>
      <w:r w:rsidR="000C4B29">
        <w:rPr>
          <w:rFonts w:eastAsiaTheme="minorEastAsia"/>
        </w:rPr>
        <w:t xml:space="preserve">-krotna.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Jest to potwierdzone też na rys. </w:t>
      </w:r>
      <w:r w:rsidR="00110342">
        <w:rPr>
          <w:rFonts w:eastAsiaTheme="minorEastAsia"/>
          <w:szCs w:val="24"/>
        </w:rPr>
        <w:fldChar w:fldCharType="begin"/>
      </w:r>
      <w:r w:rsidR="00110342">
        <w:rPr>
          <w:rFonts w:eastAsiaTheme="minorEastAsia"/>
          <w:szCs w:val="24"/>
        </w:rPr>
        <w:instrText xml:space="preserve"> REF _Ref461446633 \h </w:instrText>
      </w:r>
      <w:r w:rsidR="00110342">
        <w:rPr>
          <w:rFonts w:eastAsiaTheme="minorEastAsia"/>
          <w:szCs w:val="24"/>
        </w:rPr>
      </w:r>
      <w:r w:rsidR="00110342">
        <w:rPr>
          <w:rFonts w:eastAsiaTheme="minorEastAsia"/>
          <w:szCs w:val="24"/>
        </w:rPr>
        <w:fldChar w:fldCharType="separate"/>
      </w:r>
      <w:r w:rsidR="003743DB" w:rsidRPr="00F51F62">
        <w:rPr>
          <w:b/>
        </w:rPr>
        <w:t xml:space="preserve">Rysunek </w:t>
      </w:r>
      <w:r w:rsidR="003743DB">
        <w:rPr>
          <w:b/>
          <w:noProof/>
        </w:rPr>
        <w:t>9</w:t>
      </w:r>
      <w:r w:rsidR="00110342">
        <w:rPr>
          <w:rFonts w:eastAsiaTheme="minorEastAsia"/>
          <w:szCs w:val="24"/>
        </w:rPr>
        <w:fldChar w:fldCharType="end"/>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oMath>
      <w:r w:rsidR="00110342">
        <w:rPr>
          <w:rFonts w:eastAsiaTheme="minorEastAsia"/>
          <w:szCs w:val="24"/>
        </w:rPr>
        <w:t xml:space="preserve"> w porównaniu z resztą metali wykazuje najmocniejsze względne wzmocnienie.</w:t>
      </w:r>
    </w:p>
    <w:p w:rsidR="00F51F62" w:rsidRDefault="006E02B6" w:rsidP="00F51F62">
      <w:pPr>
        <w:keepNext/>
      </w:pPr>
      <w:r w:rsidRPr="006E02B6">
        <w:rPr>
          <w:noProof/>
          <w:lang w:eastAsia="pl-PL"/>
        </w:rPr>
        <w:drawing>
          <wp:inline distT="0" distB="0" distL="0" distR="0" wp14:anchorId="302F78AE" wp14:editId="28356894">
            <wp:extent cx="5579745" cy="4184809"/>
            <wp:effectExtent l="0" t="0" r="1905" b="6350"/>
            <wp:docPr id="9" name="Obraz 9"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pa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rPr>
          <w:rFonts w:eastAsiaTheme="minorEastAsia"/>
          <w:szCs w:val="24"/>
        </w:rPr>
      </w:pPr>
      <w:bookmarkStart w:id="50" w:name="_Ref461455634"/>
      <w:bookmarkStart w:id="51" w:name="_Toc461435771"/>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3743DB">
        <w:rPr>
          <w:b/>
          <w:noProof/>
        </w:rPr>
        <w:t>10</w:t>
      </w:r>
      <w:r w:rsidRPr="00595E04">
        <w:rPr>
          <w:b/>
        </w:rPr>
        <w:fldChar w:fldCharType="end"/>
      </w:r>
      <w:bookmarkEnd w:id="50"/>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bookmarkEnd w:id="51"/>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lastRenderedPageBreak/>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który sprawdzono przeprowadzając symulacje dla trzech różnych wartości i wyniki przedstawiono na rys. </w:t>
      </w:r>
      <w:r>
        <w:rPr>
          <w:rFonts w:eastAsiaTheme="minorEastAsia"/>
          <w:szCs w:val="24"/>
        </w:rPr>
        <w:fldChar w:fldCharType="begin"/>
      </w:r>
      <w:r>
        <w:rPr>
          <w:rFonts w:eastAsiaTheme="minorEastAsia"/>
          <w:szCs w:val="24"/>
        </w:rPr>
        <w:instrText xml:space="preserve"> REF _Ref461462518 \h </w:instrText>
      </w:r>
      <w:r w:rsidR="00DB7B6B">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3743DB" w:rsidRPr="00F51F62">
        <w:rPr>
          <w:b/>
        </w:rPr>
        <w:t xml:space="preserve">Rysunek </w:t>
      </w:r>
      <w:r w:rsidR="003743DB">
        <w:rPr>
          <w:b/>
          <w:noProof/>
        </w:rPr>
        <w:t>11</w:t>
      </w:r>
      <w:r>
        <w:rPr>
          <w:rFonts w:eastAsiaTheme="minorEastAsia"/>
          <w:szCs w:val="24"/>
        </w:rPr>
        <w:fldChar w:fldCharType="end"/>
      </w:r>
      <w:r>
        <w:rPr>
          <w:rFonts w:eastAsiaTheme="minorEastAsia"/>
          <w:szCs w:val="24"/>
        </w:rPr>
        <w:t xml:space="preserve">. Okazuje się, że jego zmiana nie wpływa znacząco ani na wartość bezwzględną przerwy nadprzewodzącej </w:t>
      </w:r>
      <m:oMath>
        <m:r>
          <w:rPr>
            <w:rFonts w:ascii="Cambria Math" w:eastAsiaTheme="minorEastAsia" w:hAnsi="Cambria Math"/>
            <w:szCs w:val="24"/>
          </w:rPr>
          <m:t>∆</m:t>
        </m:r>
      </m:oMath>
      <w:r>
        <w:rPr>
          <w:rFonts w:eastAsiaTheme="minorEastAsia"/>
          <w:szCs w:val="24"/>
        </w:rPr>
        <w:t>, ani amplitudę jej oscylacji. Zmien</w:t>
      </w:r>
      <w:proofErr w:type="spellStart"/>
      <w:r>
        <w:rPr>
          <w:rFonts w:eastAsiaTheme="minorEastAsia"/>
          <w:szCs w:val="24"/>
        </w:rPr>
        <w:t>ia</w:t>
      </w:r>
      <w:proofErr w:type="spellEnd"/>
      <w:r>
        <w:rPr>
          <w:rFonts w:eastAsiaTheme="minorEastAsia"/>
          <w:szCs w:val="24"/>
        </w:rPr>
        <w:t xml:space="preserve">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drawing>
          <wp:inline distT="0" distB="0" distL="0" distR="0" wp14:anchorId="038D742F" wp14:editId="64AEE4A5">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F51F62" w:rsidP="00F51F62">
      <w:pPr>
        <w:jc w:val="center"/>
      </w:pPr>
      <w:bookmarkStart w:id="52" w:name="_Ref461462518"/>
      <w:bookmarkStart w:id="53" w:name="_Toc461435772"/>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3743DB">
        <w:rPr>
          <w:b/>
          <w:noProof/>
        </w:rPr>
        <w:t>11</w:t>
      </w:r>
      <w:r w:rsidRPr="00F51F62">
        <w:rPr>
          <w:b/>
        </w:rPr>
        <w:fldChar w:fldCharType="end"/>
      </w:r>
      <w:bookmarkEnd w:id="52"/>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bookmarkEnd w:id="53"/>
    </w:p>
    <w:p w:rsidR="00554E0C" w:rsidRDefault="006C2F49" w:rsidP="00534BE7">
      <w:pPr>
        <w:pStyle w:val="Nagwek2"/>
      </w:pPr>
      <w:bookmarkStart w:id="54" w:name="_Toc461471006"/>
      <w:r>
        <w:t>Porównanie jakościowe z eksperymentem</w:t>
      </w:r>
      <w:bookmarkEnd w:id="54"/>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381B79">
        <w:t xml:space="preserve"> 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Jednak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założono grubość jednej </w:t>
      </w:r>
      <w:proofErr w:type="spellStart"/>
      <w:r w:rsidR="00381B79">
        <w:rPr>
          <w:rFonts w:eastAsiaTheme="minorEastAsia"/>
        </w:rPr>
        <w:t>monowarstwy</w:t>
      </w:r>
      <w:proofErr w:type="spellEnd"/>
      <w:r w:rsidR="00381B79">
        <w:rPr>
          <w:rFonts w:eastAsiaTheme="minorEastAsia"/>
        </w:rPr>
        <w:t xml:space="preserve"> ołowiu równą </w:t>
      </w:r>
      <m:oMath>
        <m:r>
          <w:rPr>
            <w:rFonts w:ascii="Cambria Math" w:eastAsiaTheme="minorEastAsia" w:hAnsi="Cambria Math"/>
          </w:rPr>
          <m:t>1 ML=0,286 nm</m:t>
        </m:r>
      </m:oMath>
      <w:r w:rsidR="00381B79">
        <w:rPr>
          <w:rFonts w:eastAsiaTheme="minorEastAsia"/>
        </w:rPr>
        <w:t xml:space="preserve"> i 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r w:rsidR="003F6CEF">
        <w:rPr>
          <w:rFonts w:eastAsiaTheme="minorEastAsia"/>
        </w:rPr>
        <w:t>ML</w:t>
      </w:r>
      <w:r w:rsidR="00D012DE">
        <w:rPr>
          <w:rFonts w:eastAsiaTheme="minorEastAsia"/>
        </w:rPr>
        <w:t xml:space="preserve"> na rys.  </w:t>
      </w:r>
      <w:r w:rsidR="00D012DE">
        <w:rPr>
          <w:rFonts w:eastAsiaTheme="minorEastAsia"/>
        </w:rPr>
        <w:fldChar w:fldCharType="begin"/>
      </w:r>
      <w:r w:rsidR="00D012DE">
        <w:rPr>
          <w:rFonts w:eastAsiaTheme="minorEastAsia"/>
        </w:rPr>
        <w:instrText xml:space="preserve"> REF _Ref461464299 \h </w:instrText>
      </w:r>
      <w:r w:rsidR="00D012DE">
        <w:rPr>
          <w:rFonts w:eastAsiaTheme="minorEastAsia"/>
        </w:rPr>
      </w:r>
      <w:r w:rsidR="00D012DE">
        <w:rPr>
          <w:rFonts w:eastAsiaTheme="minorEastAsia"/>
        </w:rPr>
        <w:fldChar w:fldCharType="separate"/>
      </w:r>
      <w:r w:rsidR="003743DB" w:rsidRPr="00595E04">
        <w:rPr>
          <w:b/>
        </w:rPr>
        <w:t xml:space="preserve">Rysunek </w:t>
      </w:r>
      <w:r w:rsidR="003743DB">
        <w:rPr>
          <w:b/>
          <w:noProof/>
        </w:rPr>
        <w:t>12</w:t>
      </w:r>
      <w:r w:rsidR="00D012DE">
        <w:rPr>
          <w:rFonts w:eastAsiaTheme="minorEastAsia"/>
        </w:rPr>
        <w:fldChar w:fldCharType="end"/>
      </w:r>
      <w:r w:rsidR="00D012DE">
        <w:rPr>
          <w:rFonts w:eastAsiaTheme="minorEastAsia"/>
        </w:rPr>
        <w:t>:</w:t>
      </w:r>
    </w:p>
    <w:p w:rsidR="00595E04" w:rsidRDefault="0040642F" w:rsidP="00595E04">
      <w:pPr>
        <w:keepNext/>
      </w:pPr>
      <w:r w:rsidRPr="0040642F">
        <w:rPr>
          <w:noProof/>
          <w:lang w:eastAsia="pl-PL"/>
        </w:rPr>
        <w:lastRenderedPageBreak/>
        <w:drawing>
          <wp:inline distT="0" distB="0" distL="0" distR="0" wp14:anchorId="3558472D" wp14:editId="16AF4A2A">
            <wp:extent cx="5579745" cy="4184809"/>
            <wp:effectExtent l="0" t="0" r="1905" b="6350"/>
            <wp:docPr id="17" name="Obraz 17"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95E04" w:rsidP="00595E04">
      <w:pPr>
        <w:jc w:val="center"/>
        <w:rPr>
          <w:rFonts w:eastAsiaTheme="minorEastAsia"/>
        </w:rPr>
      </w:pPr>
      <w:bookmarkStart w:id="55" w:name="_Ref461464299"/>
      <w:bookmarkStart w:id="56" w:name="_Toc461435773"/>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3743DB">
        <w:rPr>
          <w:b/>
          <w:noProof/>
        </w:rPr>
        <w:t>12</w:t>
      </w:r>
      <w:r w:rsidRPr="00595E04">
        <w:rPr>
          <w:b/>
        </w:rPr>
        <w:fldChar w:fldCharType="end"/>
      </w:r>
      <w:bookmarkEnd w:id="55"/>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Pr>
          <w:rFonts w:eastAsiaTheme="minorEastAsia"/>
        </w:rPr>
        <w:t xml:space="preserve"> dla rzeczywistych grubości monowarstw </w:t>
      </w:r>
      <m:oMath>
        <m:r>
          <w:rPr>
            <w:rFonts w:ascii="Cambria Math" w:eastAsiaTheme="minorEastAsia" w:hAnsi="Cambria Math"/>
          </w:rPr>
          <m:t>Pb</m:t>
        </m:r>
      </m:oMath>
      <w:bookmarkEnd w:id="56"/>
      <w:r w:rsidR="00D012DE">
        <w:rPr>
          <w:rFonts w:eastAsiaTheme="minorEastAsia"/>
        </w:rPr>
        <w:br/>
      </w:r>
    </w:p>
    <w:p w:rsidR="00D012DE" w:rsidRDefault="00873224" w:rsidP="003F6CEF">
      <w:pPr>
        <w:spacing w:line="360" w:lineRule="auto"/>
        <w:ind w:firstLine="709"/>
        <w:jc w:val="both"/>
      </w:pPr>
      <w:r>
        <w:rPr>
          <w:rFonts w:eastAsiaTheme="minorEastAsia"/>
        </w:rPr>
        <w:t xml:space="preserve">Można zaobserwować, że w przedziale 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o parzystej liczbie </w:t>
      </w:r>
      <w:r w:rsidR="003F6CEF">
        <w:rPr>
          <w:rFonts w:eastAsiaTheme="minorEastAsia"/>
        </w:rPr>
        <w:t>ML</w:t>
      </w:r>
      <w:r>
        <w:rPr>
          <w:rFonts w:eastAsiaTheme="minorEastAsia"/>
        </w:rPr>
        <w:t xml:space="preserve"> osiągają wyższe wartości przerwy nadprzewodzącej </w:t>
      </w:r>
      <m:oMath>
        <m:r>
          <w:rPr>
            <w:rFonts w:ascii="Cambria Math" w:eastAsiaTheme="minorEastAsia" w:hAnsi="Cambria Math"/>
          </w:rPr>
          <m:t>∆</m:t>
        </m:r>
      </m:oMath>
      <w:r>
        <w:rPr>
          <w:rFonts w:eastAsiaTheme="minorEastAsia"/>
        </w:rPr>
        <w:t xml:space="preserve">, następnie do 13 </w:t>
      </w:r>
      <w:r w:rsidR="003F6CEF">
        <w:rPr>
          <w:rFonts w:eastAsiaTheme="minorEastAsia"/>
        </w:rPr>
        <w:t>ML</w:t>
      </w:r>
      <w:r>
        <w:rPr>
          <w:rFonts w:eastAsiaTheme="minorEastAsia"/>
        </w:rPr>
        <w:t xml:space="preserv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z nieparzystej liczby ML i analogicznie od 14 ML sytuacja ponownie się zmienia. </w:t>
      </w:r>
      <w:r w:rsidR="00BD641F">
        <w:rPr>
          <w:rFonts w:eastAsiaTheme="minorEastAsia"/>
        </w:rPr>
        <w:t>Zostało to</w:t>
      </w:r>
      <w:r w:rsidR="003F6CEF">
        <w:rPr>
          <w:rFonts w:eastAsiaTheme="minorEastAsia"/>
        </w:rPr>
        <w:t xml:space="preserve"> zauważon</w:t>
      </w:r>
      <w:r w:rsidR="00BD641F">
        <w:rPr>
          <w:rFonts w:eastAsiaTheme="minorEastAsia"/>
        </w:rPr>
        <w:t>e</w:t>
      </w:r>
      <w:r w:rsidR="003F6CEF">
        <w:rPr>
          <w:rFonts w:eastAsiaTheme="minorEastAsia"/>
        </w:rPr>
        <w:t xml:space="preserve"> w eksperymentach [][][[], w których wykazano istnienie oscylacji z okresem dwóch ML ze zmianą co 7 - 9 ML. </w:t>
      </w:r>
      <w:r w:rsidR="0031138E">
        <w:rPr>
          <w:rFonts w:eastAsiaTheme="minorEastAsia"/>
        </w:rPr>
        <w:t xml:space="preserve">Efekt ten można wyjaśnić na wykresie energii stanów kwantowych studni potencjału w funkcji liczby ML (rys. </w:t>
      </w:r>
      <w:r w:rsidR="0031138E">
        <w:rPr>
          <w:rFonts w:eastAsiaTheme="minorEastAsia"/>
        </w:rPr>
        <w:fldChar w:fldCharType="begin"/>
      </w:r>
      <w:r w:rsidR="0031138E">
        <w:rPr>
          <w:rFonts w:eastAsiaTheme="minorEastAsia"/>
        </w:rPr>
        <w:instrText xml:space="preserve"> REF _Ref461467739 \h </w:instrText>
      </w:r>
      <w:r w:rsidR="0031138E">
        <w:rPr>
          <w:rFonts w:eastAsiaTheme="minorEastAsia"/>
        </w:rPr>
      </w:r>
      <w:r w:rsidR="0031138E">
        <w:rPr>
          <w:rFonts w:eastAsiaTheme="minorEastAsia"/>
        </w:rPr>
        <w:fldChar w:fldCharType="separate"/>
      </w:r>
      <w:r w:rsidR="003743DB" w:rsidRPr="00595E04">
        <w:rPr>
          <w:b/>
        </w:rPr>
        <w:t xml:space="preserve">Rysunek </w:t>
      </w:r>
      <w:r w:rsidR="003743DB">
        <w:rPr>
          <w:b/>
          <w:noProo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0</m:t>
        </m:r>
      </m:oMath>
      <w:r w:rsidR="0031138E">
        <w:rPr>
          <w:rFonts w:eastAsiaTheme="minorEastAsia"/>
        </w:rPr>
        <w:t xml:space="preserve"> oznacza energię Fermiego</w:t>
      </w:r>
      <w:r w:rsidR="008B3EAF">
        <w:rPr>
          <w:rFonts w:eastAsiaTheme="minorEastAsia"/>
        </w:rPr>
        <w:t xml:space="preserve"> i</w:t>
      </w:r>
      <w:r w:rsidR="0031138E">
        <w:rPr>
          <w:rFonts w:eastAsiaTheme="minorEastAsia"/>
        </w:rPr>
        <w:t xml:space="preserve"> </w:t>
      </w:r>
      <w:r w:rsidR="008B3EAF">
        <w:rPr>
          <w:rFonts w:eastAsiaTheme="minorEastAsia"/>
        </w:rPr>
        <w:t>t</w:t>
      </w:r>
      <w:r w:rsidR="0031138E">
        <w:rPr>
          <w:rFonts w:eastAsiaTheme="minorEastAsia"/>
        </w:rPr>
        <w:t>ylko stany o energii poniżej tego poziomu biorą udział w nadprzewodnictwie w stopniu zależnym bliskości temu poziomowi - im bliżej tym w większym stopniu.</w:t>
      </w:r>
      <w:r w:rsidR="008B3EAF">
        <w:rPr>
          <w:rFonts w:eastAsiaTheme="minorEastAsia"/>
        </w:rPr>
        <w:t xml:space="preserve"> Widać, że od 2 do 4 ML bliżej są warstwy parzyste, od 5 do 13 ML – nieparzyste i następnie powyżej 13 ML znowu parzyste co potwierdza wyniki z rys. </w:t>
      </w:r>
      <w:r w:rsidR="008B3EAF">
        <w:rPr>
          <w:rFonts w:eastAsiaTheme="minorEastAsia"/>
        </w:rPr>
        <w:fldChar w:fldCharType="begin"/>
      </w:r>
      <w:r w:rsidR="008B3EAF">
        <w:rPr>
          <w:rFonts w:eastAsiaTheme="minorEastAsia"/>
        </w:rPr>
        <w:instrText xml:space="preserve"> REF _Ref461464299 \h </w:instrText>
      </w:r>
      <w:r w:rsidR="008B3EAF">
        <w:rPr>
          <w:rFonts w:eastAsiaTheme="minorEastAsia"/>
        </w:rPr>
      </w:r>
      <w:r w:rsidR="008B3EAF">
        <w:rPr>
          <w:rFonts w:eastAsiaTheme="minorEastAsia"/>
        </w:rPr>
        <w:fldChar w:fldCharType="separate"/>
      </w:r>
      <w:r w:rsidR="003743DB" w:rsidRPr="00595E04">
        <w:rPr>
          <w:b/>
        </w:rPr>
        <w:t xml:space="preserve">Rysunek </w:t>
      </w:r>
      <w:r w:rsidR="003743DB">
        <w:rPr>
          <w:b/>
          <w:noProof/>
        </w:rPr>
        <w:t>12</w:t>
      </w:r>
      <w:r w:rsidR="008B3EAF">
        <w:rPr>
          <w:rFonts w:eastAsiaTheme="minorEastAsia"/>
        </w:rPr>
        <w:fldChar w:fldCharType="end"/>
      </w:r>
      <w:r w:rsidR="008B3EAF">
        <w:rPr>
          <w:rFonts w:eastAsiaTheme="minorEastAsia"/>
        </w:rPr>
        <w:t>.</w:t>
      </w:r>
    </w:p>
    <w:p w:rsidR="00595E04" w:rsidRDefault="0040642F" w:rsidP="00595E04">
      <w:pPr>
        <w:keepNext/>
      </w:pPr>
      <w:r w:rsidRPr="0040642F">
        <w:rPr>
          <w:noProof/>
          <w:lang w:eastAsia="pl-PL"/>
        </w:rPr>
        <w:lastRenderedPageBreak/>
        <w:drawing>
          <wp:inline distT="0" distB="0" distL="0" distR="0" wp14:anchorId="38A33A13" wp14:editId="68F7AA11">
            <wp:extent cx="5579745" cy="4184809"/>
            <wp:effectExtent l="0" t="0" r="1905" b="6350"/>
            <wp:docPr id="19" name="Obraz 1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595E04">
      <w:pPr>
        <w:jc w:val="center"/>
      </w:pPr>
      <w:bookmarkStart w:id="57" w:name="_Ref461467739"/>
      <w:bookmarkStart w:id="58" w:name="_Toc461435774"/>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3743DB">
        <w:rPr>
          <w:b/>
          <w:noProof/>
        </w:rPr>
        <w:t>13</w:t>
      </w:r>
      <w:r w:rsidRPr="00595E04">
        <w:rPr>
          <w:b/>
        </w:rPr>
        <w:fldChar w:fldCharType="end"/>
      </w:r>
      <w:bookmarkEnd w:id="57"/>
      <w:r w:rsidRPr="00595E04">
        <w:rPr>
          <w:b/>
        </w:rPr>
        <w:t>.</w:t>
      </w:r>
      <w:r>
        <w:t xml:space="preserve"> Wykres</w:t>
      </w:r>
      <w:bookmarkEnd w:id="58"/>
      <w:r w:rsidR="00570B36">
        <w:t xml:space="preserve"> energii stanów kwantowych 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monowarstw</w:t>
      </w:r>
    </w:p>
    <w:p w:rsidR="00554E0C" w:rsidRDefault="00554E0C" w:rsidP="00534BE7">
      <w:pPr>
        <w:pStyle w:val="Nagwek2"/>
      </w:pPr>
      <w:bookmarkStart w:id="59" w:name="_Toc461471007"/>
      <w:r>
        <w:t xml:space="preserve">Porównanie </w:t>
      </w:r>
      <w:r w:rsidR="006C2F49">
        <w:t xml:space="preserve">ilościowe </w:t>
      </w:r>
      <w:r>
        <w:t xml:space="preserve">z </w:t>
      </w:r>
      <w:r w:rsidRPr="00534BE7">
        <w:t>eksperymentem</w:t>
      </w:r>
      <w:bookmarkEnd w:id="59"/>
    </w:p>
    <w:p w:rsidR="00570B36" w:rsidRDefault="00570B36" w:rsidP="00ED33DF">
      <w:pPr>
        <w:spacing w:line="360" w:lineRule="auto"/>
        <w:ind w:firstLine="709"/>
        <w:jc w:val="both"/>
      </w:pPr>
      <w:r>
        <w:t xml:space="preserve">Aby porównać ilościowo </w:t>
      </w:r>
      <w:r w:rsidR="00ED33DF">
        <w:t xml:space="preserve">wyniki obliczeń numerycznych z eksperymentem należy wziąć pod uwagę, że wykonywane </w:t>
      </w:r>
      <w:proofErr w:type="spellStart"/>
      <w:r w:rsidR="00ED33DF">
        <w:t>nanowarstwy</w:t>
      </w:r>
      <w:proofErr w:type="spellEnd"/>
      <w:r w:rsidR="00ED33DF">
        <w:t xml:space="preserve"> nie są idealne i mogą zawierać niejednorodności powierzchni</w:t>
      </w:r>
      <w:r w:rsidR="001E4FD3">
        <w:t>. Do zasymulowania tych niejednorodności posłużono się pracą (</w:t>
      </w:r>
      <w:proofErr w:type="spellStart"/>
      <w:r w:rsidR="001E4FD3">
        <w:t>Discrete</w:t>
      </w:r>
      <w:proofErr w:type="spellEnd"/>
      <w:r w:rsidR="001E4FD3">
        <w:t xml:space="preserve"> </w:t>
      </w:r>
      <w:proofErr w:type="spellStart"/>
      <w:r w:rsidR="001E4FD3">
        <w:t>transverse</w:t>
      </w:r>
      <w:proofErr w:type="spellEnd"/>
      <w:r w:rsidR="001E4FD3">
        <w:t xml:space="preserve"> </w:t>
      </w:r>
      <w:proofErr w:type="spellStart"/>
      <w:r w:rsidR="001E4FD3">
        <w:t>superconducting</w:t>
      </w:r>
      <w:proofErr w:type="spellEnd"/>
      <w:r w:rsidR="001E4FD3">
        <w:t xml:space="preserve"> </w:t>
      </w:r>
      <w:proofErr w:type="spellStart"/>
      <w:r w:rsidR="001E4FD3">
        <w:t>modes</w:t>
      </w:r>
      <w:proofErr w:type="spellEnd"/>
      <w:r w:rsidR="001E4FD3">
        <w:t xml:space="preserve"> in </w:t>
      </w:r>
      <w:proofErr w:type="spellStart"/>
      <w:r w:rsidR="001E4FD3">
        <w:t>nano-cylinders</w:t>
      </w:r>
      <w:proofErr w:type="spellEnd"/>
      <w:r w:rsidR="001E4FD3">
        <w:t xml:space="preserve">) gdzie są one przybliżone za pomocą </w:t>
      </w:r>
      <w:r w:rsidR="00010AFF">
        <w:t xml:space="preserve">zmiany energii kinetycznej elektronów </w:t>
      </w:r>
      <w:r w:rsidR="001E4FD3">
        <w:t>wzoru:</w:t>
      </w:r>
    </w:p>
    <w:p w:rsidR="001E4FD3" w:rsidRPr="001E4FD3" w:rsidRDefault="0038633D" w:rsidP="00ED33DF">
      <w:pPr>
        <w:spacing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zmiana grubości nanowarstwy przyjęta jako równa 1 ML co daje </w:t>
      </w:r>
      <m:oMath>
        <m:r>
          <w:rPr>
            <w:rFonts w:ascii="Cambria Math" w:eastAsiaTheme="minorEastAsia" w:hAnsi="Cambria Math"/>
          </w:rPr>
          <m:t>0,405 nm</m:t>
        </m:r>
      </m:oMath>
      <w:r w:rsidR="00010AFF">
        <w:rPr>
          <w:rFonts w:eastAsiaTheme="minorEastAsia"/>
        </w:rPr>
        <w:t xml:space="preserve"> dla nanowarstw glinu.</w:t>
      </w:r>
    </w:p>
    <w:p w:rsidR="00CA274B" w:rsidRPr="00CA274B" w:rsidRDefault="00CA274B" w:rsidP="00010AFF">
      <w:pPr>
        <w:spacing w:line="360" w:lineRule="auto"/>
        <w:ind w:firstLine="708"/>
        <w:jc w:val="both"/>
      </w:pPr>
      <w:r>
        <w:t xml:space="preserve">Wykorzystując pomiary </w:t>
      </w:r>
      <w:r w:rsidR="00010AFF">
        <w:t>z</w:t>
      </w:r>
      <w:r>
        <w:t xml:space="preserve"> pracy </w:t>
      </w:r>
      <w:proofErr w:type="spellStart"/>
      <w:r>
        <w:t>xxxx</w:t>
      </w:r>
      <w:proofErr w:type="spellEnd"/>
      <w:r>
        <w:t xml:space="preserve"> (textv2)</w:t>
      </w:r>
      <w:r w:rsidR="00010AFF">
        <w:t xml:space="preserve">, w której zmierzono wartości przerwy nadprzewodzącej </w:t>
      </w:r>
      <m:oMath>
        <m:r>
          <m:rPr>
            <m:sty m:val="p"/>
          </m:rPr>
          <w:rPr>
            <w:rFonts w:ascii="Cambria Math" w:hAnsi="Cambria Math"/>
          </w:rPr>
          <m:t>Δ</m:t>
        </m:r>
      </m:oMath>
      <w:r w:rsidR="00010AFF">
        <w:t xml:space="preserve"> dla </w:t>
      </w:r>
      <w:proofErr w:type="spellStart"/>
      <w:r w:rsidR="00010AFF">
        <w:t>nanowarstw</w:t>
      </w:r>
      <w:proofErr w:type="spellEnd"/>
      <w:r w:rsidR="00010AFF">
        <w:t xml:space="preserve"> </w:t>
      </w:r>
      <w:proofErr w:type="spellStart"/>
      <w:r w:rsidR="00010AFF">
        <w:t>glinu</w:t>
      </w:r>
      <w:proofErr w:type="spellEnd"/>
      <w:r w:rsidR="00010AFF">
        <w:t xml:space="preserve"> o kilku grubościach wykonano po 500 </w:t>
      </w:r>
      <w:r w:rsidR="00010AFF">
        <w:lastRenderedPageBreak/>
        <w:t xml:space="preserve">niezależnych obliczeń dla grubości równych </w:t>
      </w:r>
      <m:oMath>
        <m:r>
          <w:rPr>
            <w:rFonts w:ascii="Cambria Math" w:hAnsi="Cambria Math"/>
          </w:rPr>
          <m:t>5 nm</m:t>
        </m:r>
      </m:oMath>
      <w:r w:rsidR="00010AFF">
        <w:rPr>
          <w:rFonts w:eastAsiaTheme="minorEastAsia"/>
        </w:rPr>
        <w:t xml:space="preserve">, </w:t>
      </w:r>
      <m:oMath>
        <m:r>
          <w:rPr>
            <w:rFonts w:ascii="Cambria Math" w:eastAsiaTheme="minorEastAsia" w:hAnsi="Cambria Math"/>
          </w:rPr>
          <m:t>7 nm</m:t>
        </m:r>
      </m:oMath>
      <w:r w:rsidR="00010AFF">
        <w:rPr>
          <w:rFonts w:eastAsiaTheme="minorEastAsia"/>
        </w:rPr>
        <w:t xml:space="preserve"> oraz </w:t>
      </w:r>
      <m:oMath>
        <m:r>
          <w:rPr>
            <w:rFonts w:ascii="Cambria Math" w:eastAsiaTheme="minorEastAsia" w:hAnsi="Cambria Math"/>
          </w:rPr>
          <m:t>10 nm</m:t>
        </m:r>
      </m:oMath>
      <w:r w:rsidR="00010AFF">
        <w:rPr>
          <w:rFonts w:eastAsiaTheme="minorEastAsia"/>
        </w:rPr>
        <w:t xml:space="preserve"> i wyniki przedstawiono na rys. </w:t>
      </w:r>
      <w:r w:rsidR="00010AFF">
        <w:rPr>
          <w:rFonts w:eastAsiaTheme="minorEastAsia"/>
        </w:rPr>
        <w:fldChar w:fldCharType="begin"/>
      </w:r>
      <w:r w:rsidR="00010AFF">
        <w:rPr>
          <w:rFonts w:eastAsiaTheme="minorEastAsia"/>
        </w:rPr>
        <w:instrText xml:space="preserve"> REF _Ref461470431 \h </w:instrText>
      </w:r>
      <w:r w:rsidR="00010AFF">
        <w:rPr>
          <w:rFonts w:eastAsiaTheme="minorEastAsia"/>
        </w:rPr>
      </w:r>
      <w:r w:rsidR="00010AFF">
        <w:rPr>
          <w:rFonts w:eastAsiaTheme="minorEastAsia"/>
        </w:rPr>
        <w:fldChar w:fldCharType="separate"/>
      </w:r>
      <w:r w:rsidR="003743DB" w:rsidRPr="00595E04">
        <w:rPr>
          <w:b/>
        </w:rPr>
        <w:t xml:space="preserve">Rysunek </w:t>
      </w:r>
      <w:r w:rsidR="003743DB">
        <w:rPr>
          <w:b/>
          <w:noProof/>
        </w:rPr>
        <w:t>14</w:t>
      </w:r>
      <w:r w:rsidR="00010AFF">
        <w:rPr>
          <w:rFonts w:eastAsiaTheme="minorEastAsia"/>
        </w:rPr>
        <w:fldChar w:fldCharType="end"/>
      </w:r>
      <w:r w:rsidR="00010AFF">
        <w:rPr>
          <w:rFonts w:eastAsiaTheme="minorEastAsia"/>
        </w:rPr>
        <w:t>:</w:t>
      </w:r>
    </w:p>
    <w:p w:rsidR="00595E04" w:rsidRDefault="0084616E" w:rsidP="00595E04">
      <w:pPr>
        <w:keepNext/>
        <w:spacing w:after="160" w:line="259" w:lineRule="auto"/>
      </w:pPr>
      <w:r w:rsidRPr="0084616E">
        <w:rPr>
          <w:noProof/>
          <w:szCs w:val="24"/>
          <w:lang w:eastAsia="pl-PL"/>
        </w:rPr>
        <w:drawing>
          <wp:inline distT="0" distB="0" distL="0" distR="0" wp14:anchorId="22285299" wp14:editId="7FF57552">
            <wp:extent cx="5579745" cy="4184809"/>
            <wp:effectExtent l="0" t="0" r="1905" b="6350"/>
            <wp:docPr id="20" name="Obraz 20" descr="D:\magis\kopisxpendrivaktorybylkopiastad\nowe2\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kopisxpendrivaktorybylkopiastad\nowe2\figure_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595E04">
      <w:pPr>
        <w:jc w:val="center"/>
      </w:pPr>
      <w:bookmarkStart w:id="60" w:name="_Ref461470431"/>
      <w:bookmarkStart w:id="61" w:name="_Toc461435775"/>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3743DB">
        <w:rPr>
          <w:b/>
          <w:noProof/>
        </w:rPr>
        <w:t>14</w:t>
      </w:r>
      <w:r w:rsidRPr="00595E04">
        <w:rPr>
          <w:b/>
        </w:rPr>
        <w:fldChar w:fldCharType="end"/>
      </w:r>
      <w:bookmarkEnd w:id="60"/>
      <w:r w:rsidRPr="00595E04">
        <w:rPr>
          <w:b/>
        </w:rPr>
        <w:t>.</w:t>
      </w:r>
      <w:r>
        <w:t xml:space="preserve"> Porównanie z eksperymentem</w:t>
      </w:r>
      <w:bookmarkEnd w:id="61"/>
    </w:p>
    <w:p w:rsidR="00010AFF" w:rsidRDefault="00010AFF" w:rsidP="00595E04">
      <w:pPr>
        <w:jc w:val="center"/>
      </w:pPr>
    </w:p>
    <w:p w:rsidR="00010AFF" w:rsidRDefault="00010AFF" w:rsidP="00AD0D57">
      <w:pPr>
        <w:spacing w:line="360" w:lineRule="auto"/>
        <w:ind w:firstLine="709"/>
        <w:jc w:val="both"/>
      </w:pPr>
      <w:r>
        <w:t xml:space="preserve">Otrzymane wyniki </w:t>
      </w:r>
      <w:r w:rsidR="00AD0D57">
        <w:t xml:space="preserve">w dobrym stopniu </w:t>
      </w:r>
      <w:r>
        <w:t>zgadzają się z danymi eksperymentalnymi</w:t>
      </w:r>
      <w:r w:rsidR="00AD0D57">
        <w:t xml:space="preserve"> co potwierdza, że równania </w:t>
      </w:r>
      <w:proofErr w:type="spellStart"/>
      <w:r w:rsidR="00AD0D57">
        <w:t>Bogoliubova</w:t>
      </w:r>
      <w:proofErr w:type="spellEnd"/>
      <w:r w:rsidR="00AD0D57">
        <w:t xml:space="preserve">-de </w:t>
      </w:r>
      <w:proofErr w:type="spellStart"/>
      <w:r w:rsidR="00AD0D57">
        <w:t>Gennes</w:t>
      </w:r>
      <w:proofErr w:type="spellEnd"/>
      <w:r w:rsidR="00AD0D57">
        <w:t xml:space="preserve"> dobrze odzwierciedlają fizykę związaną z nadprzewodnictwem w cienkich warstwach metalicznych.</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2" w:name="_Toc461471008"/>
      <w:r w:rsidRPr="00534BE7">
        <w:lastRenderedPageBreak/>
        <w:t>Podsumowanie</w:t>
      </w:r>
      <w:bookmarkEnd w:id="62"/>
    </w:p>
    <w:p w:rsidR="00860EB8" w:rsidRDefault="00B06F32" w:rsidP="00B06F32">
      <w:pPr>
        <w:spacing w:after="160" w:line="259" w:lineRule="auto"/>
        <w:ind w:firstLine="708"/>
        <w:rPr>
          <w:rFonts w:eastAsiaTheme="minorEastAsia"/>
          <w:szCs w:val="24"/>
        </w:rPr>
      </w:pPr>
      <w:r>
        <w:rPr>
          <w:rFonts w:eastAsiaTheme="minorEastAsia"/>
          <w:szCs w:val="24"/>
        </w:rPr>
        <w:t>Celem pracy było zbadanie</w:t>
      </w:r>
      <w:r w:rsidRPr="00B06F32">
        <w:rPr>
          <w:rFonts w:eastAsiaTheme="minorEastAsia"/>
          <w:szCs w:val="24"/>
        </w:rPr>
        <w:t xml:space="preserve"> </w:t>
      </w:r>
      <w:r>
        <w:rPr>
          <w:rFonts w:eastAsiaTheme="minorEastAsia"/>
          <w:szCs w:val="24"/>
        </w:rPr>
        <w:t>zbadany wpływ gęstości elektronów na oscylacje temperatury krytycznej w cienkich warstwach metalicznych</w:t>
      </w: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A90C2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A90C20">
                <w:trPr>
                  <w:divId w:val="919098441"/>
                  <w:tblCellSpacing w:w="15" w:type="dxa"/>
                </w:trPr>
                <w:tc>
                  <w:tcPr>
                    <w:tcW w:w="50" w:type="pct"/>
                    <w:hideMark/>
                  </w:tcPr>
                  <w:p w:rsidR="00A90C20" w:rsidRDefault="00A90C20">
                    <w:pPr>
                      <w:pStyle w:val="Bibliografia"/>
                      <w:rPr>
                        <w:noProof/>
                        <w:szCs w:val="24"/>
                      </w:rPr>
                    </w:pPr>
                    <w:r>
                      <w:rPr>
                        <w:noProof/>
                      </w:rPr>
                      <w:t xml:space="preserve">[1] </w:t>
                    </w:r>
                  </w:p>
                </w:tc>
                <w:tc>
                  <w:tcPr>
                    <w:tcW w:w="0" w:type="auto"/>
                    <w:hideMark/>
                  </w:tcPr>
                  <w:p w:rsidR="00A90C20" w:rsidRDefault="00A90C20">
                    <w:pPr>
                      <w:pStyle w:val="Bibliografia"/>
                      <w:rPr>
                        <w:noProof/>
                      </w:rPr>
                    </w:pPr>
                    <w:r w:rsidRPr="00A64FFF">
                      <w:rPr>
                        <w:noProof/>
                        <w:lang w:val="en-US"/>
                      </w:rPr>
                      <w:t xml:space="preserve">T. C. J. Blatt J. M., „Phys. </w:t>
                    </w:r>
                    <w:r>
                      <w:rPr>
                        <w:noProof/>
                      </w:rPr>
                      <w:t xml:space="preserve">Rev. Lett. 10, 332,” 2006. </w:t>
                    </w:r>
                  </w:p>
                </w:tc>
              </w:tr>
              <w:tr w:rsidR="00A90C20" w:rsidRPr="00110342">
                <w:trPr>
                  <w:divId w:val="919098441"/>
                  <w:tblCellSpacing w:w="15" w:type="dxa"/>
                </w:trPr>
                <w:tc>
                  <w:tcPr>
                    <w:tcW w:w="50" w:type="pct"/>
                    <w:hideMark/>
                  </w:tcPr>
                  <w:p w:rsidR="00A90C20" w:rsidRDefault="00A90C20">
                    <w:pPr>
                      <w:pStyle w:val="Bibliografia"/>
                      <w:rPr>
                        <w:noProof/>
                      </w:rPr>
                    </w:pPr>
                    <w:r>
                      <w:rPr>
                        <w:noProof/>
                      </w:rPr>
                      <w:t xml:space="preserve">[2] </w:t>
                    </w:r>
                  </w:p>
                </w:tc>
                <w:tc>
                  <w:tcPr>
                    <w:tcW w:w="0" w:type="auto"/>
                    <w:hideMark/>
                  </w:tcPr>
                  <w:p w:rsidR="00A90C20" w:rsidRPr="00A64FFF" w:rsidRDefault="00A90C20">
                    <w:pPr>
                      <w:pStyle w:val="Bibliografia"/>
                      <w:rPr>
                        <w:noProof/>
                        <w:lang w:val="en-US"/>
                      </w:rPr>
                    </w:pPr>
                    <w:r w:rsidRPr="00A64FFF">
                      <w:rPr>
                        <w:noProof/>
                        <w:lang w:val="en-US"/>
                      </w:rPr>
                      <w:t xml:space="preserve">Z. Y. F. B. X. Y. H. T. Z. T. Z. Z. L. X. Z. W. G. W. E. G. N. Q. Q. Z. Q. J. F. Z. Z. X. X. Q. K. Guo Y., „Science 306, 1915,” 2004.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[3] </w:t>
                    </w:r>
                  </w:p>
                </w:tc>
                <w:tc>
                  <w:tcPr>
                    <w:tcW w:w="0" w:type="auto"/>
                    <w:hideMark/>
                  </w:tcPr>
                  <w:p w:rsidR="00A90C20" w:rsidRDefault="00A90C20">
                    <w:pPr>
                      <w:pStyle w:val="Bibliografia"/>
                      <w:rPr>
                        <w:noProof/>
                      </w:rPr>
                    </w:pPr>
                    <w:r w:rsidRPr="00A64FFF">
                      <w:rPr>
                        <w:noProof/>
                        <w:lang w:val="en-US"/>
                      </w:rPr>
                      <w:t xml:space="preserve">Q. S. C. M. Y. S. C. K. Eom D., „Phys. </w:t>
                    </w:r>
                    <w:r>
                      <w:rPr>
                        <w:noProof/>
                      </w:rPr>
                      <w:t xml:space="preserve">Rev. Lett. 96, 027005,”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[4] </w:t>
                    </w:r>
                  </w:p>
                </w:tc>
                <w:tc>
                  <w:tcPr>
                    <w:tcW w:w="0" w:type="auto"/>
                    <w:hideMark/>
                  </w:tcPr>
                  <w:p w:rsidR="00A90C20" w:rsidRDefault="00A90C20">
                    <w:pPr>
                      <w:pStyle w:val="Bibliografia"/>
                      <w:rPr>
                        <w:noProof/>
                      </w:rPr>
                    </w:pPr>
                    <w:r w:rsidRPr="00A64FFF">
                      <w:rPr>
                        <w:noProof/>
                        <w:lang w:val="en-US"/>
                      </w:rPr>
                      <w:t xml:space="preserve">T. Zhang, P. Cheng, W. J. Li, Y. J. Sun, X. G. Wang, G. Zhu, K. He, L. L. Wang, X. C. Ma, X. Chen, Y. Y. Wang, Y. Liu, L. H. Q, J. F. Jia i Q. K. Xue, „Nat. </w:t>
                    </w:r>
                    <w:r>
                      <w:rPr>
                        <w:noProof/>
                      </w:rPr>
                      <w:t xml:space="preserve">Phys. 6, 104,”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[5] </w:t>
                    </w:r>
                  </w:p>
                </w:tc>
                <w:tc>
                  <w:tcPr>
                    <w:tcW w:w="0" w:type="auto"/>
                    <w:hideMark/>
                  </w:tcPr>
                  <w:p w:rsidR="00A90C20" w:rsidRDefault="00A90C20">
                    <w:pPr>
                      <w:pStyle w:val="Bibliografia"/>
                      <w:rPr>
                        <w:noProof/>
                      </w:rPr>
                    </w:pPr>
                    <w:r w:rsidRPr="00A64FFF">
                      <w:rPr>
                        <w:noProof/>
                        <w:lang w:val="en-US"/>
                      </w:rPr>
                      <w:t xml:space="preserve">M. M. Özer, J. R. Thompson i H. H. Weitering, „Nat. </w:t>
                    </w:r>
                    <w:r>
                      <w:rPr>
                        <w:noProof/>
                      </w:rPr>
                      <w:t xml:space="preserve">Phys. 2, 173,” 2006. </w:t>
                    </w:r>
                  </w:p>
                </w:tc>
              </w:tr>
              <w:tr w:rsidR="00A90C20" w:rsidRPr="00110342">
                <w:trPr>
                  <w:divId w:val="919098441"/>
                  <w:tblCellSpacing w:w="15" w:type="dxa"/>
                </w:trPr>
                <w:tc>
                  <w:tcPr>
                    <w:tcW w:w="50" w:type="pct"/>
                    <w:hideMark/>
                  </w:tcPr>
                  <w:p w:rsidR="00A90C20" w:rsidRDefault="00A90C20">
                    <w:pPr>
                      <w:pStyle w:val="Bibliografia"/>
                      <w:rPr>
                        <w:noProof/>
                      </w:rPr>
                    </w:pPr>
                    <w:r>
                      <w:rPr>
                        <w:noProof/>
                      </w:rPr>
                      <w:t xml:space="preserve">[6] </w:t>
                    </w:r>
                  </w:p>
                </w:tc>
                <w:tc>
                  <w:tcPr>
                    <w:tcW w:w="0" w:type="auto"/>
                    <w:hideMark/>
                  </w:tcPr>
                  <w:p w:rsidR="00A90C20" w:rsidRPr="00A64FFF" w:rsidRDefault="00A90C20">
                    <w:pPr>
                      <w:pStyle w:val="Bibliografia"/>
                      <w:rPr>
                        <w:noProof/>
                        <w:lang w:val="en-US"/>
                      </w:rPr>
                    </w:pPr>
                    <w:r w:rsidRPr="00A64FFF">
                      <w:rPr>
                        <w:noProof/>
                        <w:lang w:val="en-US"/>
                      </w:rPr>
                      <w:t xml:space="preserve">M. M. Özer, Y. Jia, Z. Zhang, J. R. Thompson i H. H. Weitering, „Science 316, 1594,” 2007. </w:t>
                    </w:r>
                  </w:p>
                </w:tc>
              </w:tr>
              <w:tr w:rsidR="00A90C20" w:rsidRPr="00110342">
                <w:trPr>
                  <w:divId w:val="919098441"/>
                  <w:tblCellSpacing w:w="15" w:type="dxa"/>
                </w:trPr>
                <w:tc>
                  <w:tcPr>
                    <w:tcW w:w="50" w:type="pct"/>
                    <w:hideMark/>
                  </w:tcPr>
                  <w:p w:rsidR="00A90C20" w:rsidRDefault="00A90C20">
                    <w:pPr>
                      <w:pStyle w:val="Bibliografia"/>
                      <w:rPr>
                        <w:noProof/>
                      </w:rPr>
                    </w:pPr>
                    <w:r>
                      <w:rPr>
                        <w:noProof/>
                      </w:rPr>
                      <w:t xml:space="preserve">[7] </w:t>
                    </w:r>
                  </w:p>
                </w:tc>
                <w:tc>
                  <w:tcPr>
                    <w:tcW w:w="0" w:type="auto"/>
                    <w:hideMark/>
                  </w:tcPr>
                  <w:p w:rsidR="00A90C20" w:rsidRPr="00A64FFF" w:rsidRDefault="00A90C20">
                    <w:pPr>
                      <w:pStyle w:val="Bibliografia"/>
                      <w:rPr>
                        <w:noProof/>
                        <w:lang w:val="en-US"/>
                      </w:rPr>
                    </w:pPr>
                    <w:r w:rsidRPr="00A64FFF">
                      <w:rPr>
                        <w:noProof/>
                        <w:lang w:val="en-US"/>
                      </w:rPr>
                      <w:t xml:space="preserve">Z. T. i. in., „Superconductivity in one-atomic-layer metal films grown on Si(111),” </w:t>
                    </w:r>
                    <w:r w:rsidRPr="00A64FFF">
                      <w:rPr>
                        <w:i/>
                        <w:iCs/>
                        <w:noProof/>
                        <w:lang w:val="en-US"/>
                      </w:rPr>
                      <w:t xml:space="preserve">Nature Physics 6, 104, </w:t>
                    </w:r>
                    <w:r w:rsidRPr="00A64FFF">
                      <w:rPr>
                        <w:noProof/>
                        <w:lang w:val="en-US"/>
                      </w:rPr>
                      <w:t xml:space="preserve">2010. </w:t>
                    </w:r>
                  </w:p>
                </w:tc>
              </w:tr>
              <w:tr w:rsidR="00A90C20" w:rsidRPr="00110342">
                <w:trPr>
                  <w:divId w:val="919098441"/>
                  <w:tblCellSpacing w:w="15" w:type="dxa"/>
                </w:trPr>
                <w:tc>
                  <w:tcPr>
                    <w:tcW w:w="50" w:type="pct"/>
                    <w:hideMark/>
                  </w:tcPr>
                  <w:p w:rsidR="00A90C20" w:rsidRDefault="00A90C20">
                    <w:pPr>
                      <w:pStyle w:val="Bibliografia"/>
                      <w:rPr>
                        <w:noProof/>
                      </w:rPr>
                    </w:pPr>
                    <w:r>
                      <w:rPr>
                        <w:noProof/>
                      </w:rPr>
                      <w:t xml:space="preserve">[8] </w:t>
                    </w:r>
                  </w:p>
                </w:tc>
                <w:tc>
                  <w:tcPr>
                    <w:tcW w:w="0" w:type="auto"/>
                    <w:hideMark/>
                  </w:tcPr>
                  <w:p w:rsidR="00A90C20" w:rsidRPr="00A64FFF" w:rsidRDefault="00A90C20">
                    <w:pPr>
                      <w:pStyle w:val="Bibliografia"/>
                      <w:rPr>
                        <w:noProof/>
                        <w:lang w:val="en-US"/>
                      </w:rPr>
                    </w:pPr>
                    <w:r w:rsidRPr="00A64FFF">
                      <w:rPr>
                        <w:noProof/>
                        <w:lang w:val="en-US"/>
                      </w:rPr>
                      <w:t xml:space="preserve">N.-M. E. i. in., „Enhanced superconductivity in atomically thin TaS2,” </w:t>
                    </w:r>
                    <w:r w:rsidRPr="00A64FFF">
                      <w:rPr>
                        <w:i/>
                        <w:iCs/>
                        <w:noProof/>
                        <w:lang w:val="en-US"/>
                      </w:rPr>
                      <w:t xml:space="preserve">Nature Communications 7, 11043, </w:t>
                    </w:r>
                    <w:r w:rsidRPr="00A64FFF">
                      <w:rPr>
                        <w:noProof/>
                        <w:lang w:val="en-US"/>
                      </w:rPr>
                      <w:t xml:space="preserve">2016.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[9] </w:t>
                    </w:r>
                  </w:p>
                </w:tc>
                <w:tc>
                  <w:tcPr>
                    <w:tcW w:w="0" w:type="auto"/>
                    <w:hideMark/>
                  </w:tcPr>
                  <w:p w:rsidR="00A90C20" w:rsidRDefault="00A90C20">
                    <w:pPr>
                      <w:pStyle w:val="Bibliografia"/>
                      <w:rPr>
                        <w:noProof/>
                      </w:rPr>
                    </w:pPr>
                    <w:r w:rsidRPr="00A64FFF">
                      <w:rPr>
                        <w:noProof/>
                        <w:lang w:val="en-US"/>
                      </w:rPr>
                      <w:t xml:space="preserve">[Online]. Available: https://pl.wikipedia.org/wiki/Teoria_BCS. </w:t>
                    </w:r>
                    <w:r>
                      <w:rPr>
                        <w:noProof/>
                      </w:rPr>
                      <w:t>[Data uzyskania dostępu: 20 08 2016].</w:t>
                    </w:r>
                  </w:p>
                </w:tc>
              </w:tr>
              <w:tr w:rsidR="00A90C20" w:rsidRPr="00110342">
                <w:trPr>
                  <w:divId w:val="919098441"/>
                  <w:tblCellSpacing w:w="15" w:type="dxa"/>
                </w:trPr>
                <w:tc>
                  <w:tcPr>
                    <w:tcW w:w="50" w:type="pct"/>
                    <w:hideMark/>
                  </w:tcPr>
                  <w:p w:rsidR="00A90C20" w:rsidRDefault="00A90C20">
                    <w:pPr>
                      <w:pStyle w:val="Bibliografia"/>
                      <w:rPr>
                        <w:noProof/>
                      </w:rPr>
                    </w:pPr>
                    <w:r>
                      <w:rPr>
                        <w:noProof/>
                      </w:rPr>
                      <w:t xml:space="preserve">[10] </w:t>
                    </w:r>
                  </w:p>
                </w:tc>
                <w:tc>
                  <w:tcPr>
                    <w:tcW w:w="0" w:type="auto"/>
                    <w:hideMark/>
                  </w:tcPr>
                  <w:p w:rsidR="00A90C20" w:rsidRPr="00A64FFF" w:rsidRDefault="00A90C20">
                    <w:pPr>
                      <w:pStyle w:val="Bibliografia"/>
                      <w:rPr>
                        <w:noProof/>
                        <w:lang w:val="en-US"/>
                      </w:rPr>
                    </w:pPr>
                    <w:r w:rsidRPr="00A64FFF">
                      <w:rPr>
                        <w:noProof/>
                        <w:lang w:val="en-US"/>
                      </w:rPr>
                      <w:t xml:space="preserve">F. M. G., Proximity effects in superconducting spin-valve structures, Leiden: Leiden University,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[11] </w:t>
                    </w:r>
                  </w:p>
                </w:tc>
                <w:tc>
                  <w:tcPr>
                    <w:tcW w:w="0" w:type="auto"/>
                    <w:hideMark/>
                  </w:tcPr>
                  <w:p w:rsidR="00A90C20" w:rsidRDefault="00A90C20">
                    <w:pPr>
                      <w:pStyle w:val="Bibliografia"/>
                      <w:rPr>
                        <w:noProof/>
                      </w:rPr>
                    </w:pPr>
                    <w:r w:rsidRPr="00A64FFF">
                      <w:rPr>
                        <w:noProof/>
                        <w:lang w:val="en-US"/>
                      </w:rPr>
                      <w:t xml:space="preserve">[Online]. Available: https://pl.wikipedia.org/wiki/Potencja%C5%82_chemiczny. </w:t>
                    </w:r>
                    <w:r>
                      <w:rPr>
                        <w:noProof/>
                      </w:rPr>
                      <w:t>[Data uzyskania dostępu: 10 09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[12] </w:t>
                    </w:r>
                  </w:p>
                </w:tc>
                <w:tc>
                  <w:tcPr>
                    <w:tcW w:w="0" w:type="auto"/>
                    <w:hideMark/>
                  </w:tcPr>
                  <w:p w:rsidR="00A90C20" w:rsidRDefault="00A90C20">
                    <w:pPr>
                      <w:pStyle w:val="Bibliografia"/>
                      <w:rPr>
                        <w:noProof/>
                      </w:rPr>
                    </w:pPr>
                    <w:r w:rsidRPr="00A64FFF">
                      <w:rPr>
                        <w:noProof/>
                        <w:lang w:val="en-US"/>
                      </w:rPr>
                      <w:t xml:space="preserve">M. D. C. F. M. P. A. A. Shanenko, „Oscillations of the superconductiing temperature induced by quantum well states in thin metallic films,” </w:t>
                    </w:r>
                    <w:r w:rsidRPr="00A64FFF">
                      <w:rPr>
                        <w:i/>
                        <w:iCs/>
                        <w:noProof/>
                        <w:lang w:val="en-US"/>
                      </w:rPr>
                      <w:t xml:space="preserve">Phys. </w:t>
                    </w:r>
                    <w:r>
                      <w:rPr>
                        <w:i/>
                        <w:iCs/>
                        <w:noProof/>
                      </w:rPr>
                      <w:t xml:space="preserve">Rev. B 75, 014519, </w:t>
                    </w:r>
                    <w:r>
                      <w:rPr>
                        <w:noProof/>
                      </w:rPr>
                      <w:t xml:space="preserve">2007. </w:t>
                    </w:r>
                  </w:p>
                </w:tc>
              </w:tr>
            </w:tbl>
            <w:p w:rsidR="00A90C20" w:rsidRDefault="00A90C20">
              <w:pPr>
                <w:divId w:val="919098441"/>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595E04"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435762" w:history="1">
        <w:r w:rsidR="00595E04" w:rsidRPr="009F742C">
          <w:rPr>
            <w:rStyle w:val="Hipercze"/>
            <w:b/>
            <w:noProof/>
          </w:rPr>
          <w:t>Rysunek 1.</w:t>
        </w:r>
        <w:r w:rsidR="00595E04" w:rsidRPr="009F742C">
          <w:rPr>
            <w:rStyle w:val="Hipercze"/>
            <w:noProof/>
          </w:rPr>
          <w:t xml:space="preserve"> Schemat nanowarstwy</w:t>
        </w:r>
        <w:r w:rsidR="00595E04">
          <w:rPr>
            <w:noProof/>
            <w:webHidden/>
          </w:rPr>
          <w:tab/>
        </w:r>
        <w:r w:rsidR="00595E04">
          <w:rPr>
            <w:noProof/>
            <w:webHidden/>
          </w:rPr>
          <w:fldChar w:fldCharType="begin"/>
        </w:r>
        <w:r w:rsidR="00595E04">
          <w:rPr>
            <w:noProof/>
            <w:webHidden/>
          </w:rPr>
          <w:instrText xml:space="preserve"> PAGEREF _Toc461435762 \h </w:instrText>
        </w:r>
        <w:r w:rsidR="00595E04">
          <w:rPr>
            <w:noProof/>
            <w:webHidden/>
          </w:rPr>
        </w:r>
        <w:r w:rsidR="00595E04">
          <w:rPr>
            <w:noProof/>
            <w:webHidden/>
          </w:rPr>
          <w:fldChar w:fldCharType="separate"/>
        </w:r>
        <w:r w:rsidR="003743DB">
          <w:rPr>
            <w:noProof/>
            <w:webHidden/>
          </w:rPr>
          <w:t>10</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3" w:history="1">
        <w:r w:rsidR="00595E04" w:rsidRPr="009F742C">
          <w:rPr>
            <w:rStyle w:val="Hipercze"/>
            <w:b/>
            <w:noProof/>
          </w:rPr>
          <w:t>Rysunek 2.</w:t>
        </w:r>
        <w:r w:rsidR="00595E04" w:rsidRPr="009F742C">
          <w:rPr>
            <w:rStyle w:val="Hipercze"/>
            <w:noProof/>
          </w:rPr>
          <w:t xml:space="preserve"> Funkcje falowe nieskończonej studni potencjału</w:t>
        </w:r>
        <w:r w:rsidR="00595E04">
          <w:rPr>
            <w:noProof/>
            <w:webHidden/>
          </w:rPr>
          <w:tab/>
        </w:r>
        <w:r w:rsidR="00595E04">
          <w:rPr>
            <w:noProof/>
            <w:webHidden/>
          </w:rPr>
          <w:fldChar w:fldCharType="begin"/>
        </w:r>
        <w:r w:rsidR="00595E04">
          <w:rPr>
            <w:noProof/>
            <w:webHidden/>
          </w:rPr>
          <w:instrText xml:space="preserve"> PAGEREF _Toc461435763 \h </w:instrText>
        </w:r>
        <w:r w:rsidR="00595E04">
          <w:rPr>
            <w:noProof/>
            <w:webHidden/>
          </w:rPr>
        </w:r>
        <w:r w:rsidR="00595E04">
          <w:rPr>
            <w:noProof/>
            <w:webHidden/>
          </w:rPr>
          <w:fldChar w:fldCharType="separate"/>
        </w:r>
        <w:r w:rsidR="003743DB">
          <w:rPr>
            <w:noProof/>
            <w:webHidden/>
          </w:rPr>
          <w:t>11</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4" w:history="1">
        <w:r w:rsidR="00595E04" w:rsidRPr="009F742C">
          <w:rPr>
            <w:rStyle w:val="Hipercze"/>
            <w:b/>
            <w:noProof/>
          </w:rPr>
          <w:t>Rysunek 3.</w:t>
        </w:r>
        <w:r w:rsidR="00595E04" w:rsidRPr="009F742C">
          <w:rPr>
            <w:rStyle w:val="Hipercze"/>
            <w:noProof/>
          </w:rPr>
          <w:t xml:space="preserve"> Wartość potencjału chemicznego </w:t>
        </w:r>
        <m:oMath>
          <m:r>
            <w:rPr>
              <w:rStyle w:val="Hipercze"/>
              <w:rFonts w:ascii="Cambria Math" w:hAnsi="Cambria Math"/>
              <w:noProof/>
            </w:rPr>
            <m:t>μ</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_Toc461435764 \h </w:instrText>
        </w:r>
        <w:r w:rsidR="00595E04">
          <w:rPr>
            <w:noProof/>
            <w:webHidden/>
          </w:rPr>
        </w:r>
        <w:r w:rsidR="00595E04">
          <w:rPr>
            <w:noProof/>
            <w:webHidden/>
          </w:rPr>
          <w:fldChar w:fldCharType="separate"/>
        </w:r>
        <w:r w:rsidR="003743DB">
          <w:rPr>
            <w:noProof/>
            <w:webHidden/>
          </w:rPr>
          <w:t>18</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5" w:history="1">
        <w:r w:rsidR="00595E04" w:rsidRPr="009F742C">
          <w:rPr>
            <w:rStyle w:val="Hipercze"/>
            <w:b/>
            <w:noProof/>
          </w:rPr>
          <w:t>Rysunek 4.</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_Toc461435765 \h </w:instrText>
        </w:r>
        <w:r w:rsidR="00595E04">
          <w:rPr>
            <w:noProof/>
            <w:webHidden/>
          </w:rPr>
        </w:r>
        <w:r w:rsidR="00595E04">
          <w:rPr>
            <w:noProof/>
            <w:webHidden/>
          </w:rPr>
          <w:fldChar w:fldCharType="separate"/>
        </w:r>
        <w:r w:rsidR="003743DB">
          <w:rPr>
            <w:noProof/>
            <w:webHidden/>
          </w:rPr>
          <w:t>19</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6" w:history="1">
        <w:r w:rsidR="00595E04" w:rsidRPr="009F742C">
          <w:rPr>
            <w:rStyle w:val="Hipercze"/>
            <w:b/>
            <w:noProof/>
          </w:rPr>
          <w:t>Rysunek 5.</w:t>
        </w:r>
        <w:r w:rsidR="00595E04" w:rsidRPr="009F742C">
          <w:rPr>
            <w:rStyle w:val="Hipercze"/>
            <w:noProof/>
          </w:rPr>
          <w:t xml:space="preserve"> Relacje dyspersji przedstawiające energie nadprzewodzące </w:t>
        </w:r>
        <m:oMath>
          <m:r>
            <w:rPr>
              <w:rStyle w:val="Hipercze"/>
              <w:rFonts w:ascii="Cambria Math" w:hAnsi="Cambria Math"/>
              <w:noProof/>
            </w:rPr>
            <m:t>E</m:t>
          </m:r>
        </m:oMath>
        <w:r w:rsidR="00595E04" w:rsidRPr="009F742C">
          <w:rPr>
            <w:rStyle w:val="Hipercze"/>
            <w:noProof/>
          </w:rPr>
          <w:t xml:space="preserve"> (główne wykresy) oraz energie kinetyczne </w:t>
        </w:r>
        <m:oMath>
          <m:r>
            <w:rPr>
              <w:rStyle w:val="Hipercze"/>
              <w:rFonts w:ascii="Cambria Math" w:hAnsi="Cambria Math"/>
              <w:noProof/>
            </w:rPr>
            <m:t>Ekin</m:t>
          </m:r>
        </m:oMath>
        <w:r w:rsidR="00595E04" w:rsidRPr="009F742C">
          <w:rPr>
            <w:rStyle w:val="Hipercze"/>
            <w:noProof/>
          </w:rPr>
          <w:t xml:space="preserve"> (wykresy w prawych górnych rogach) w zależności od wektora falowego </w:t>
        </w:r>
        <m:oMath>
          <m:r>
            <w:rPr>
              <w:rStyle w:val="Hipercze"/>
              <w:rFonts w:ascii="Cambria Math" w:hAnsi="Cambria Math"/>
              <w:noProof/>
            </w:rPr>
            <m:t>k</m:t>
          </m:r>
        </m:oMath>
        <w:r w:rsidR="00595E04"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_Toc461435766 \h </w:instrText>
        </w:r>
        <w:r w:rsidR="00595E04">
          <w:rPr>
            <w:noProof/>
            <w:webHidden/>
          </w:rPr>
        </w:r>
        <w:r w:rsidR="00595E04">
          <w:rPr>
            <w:noProof/>
            <w:webHidden/>
          </w:rPr>
          <w:fldChar w:fldCharType="separate"/>
        </w:r>
        <w:r w:rsidR="003743DB">
          <w:rPr>
            <w:noProof/>
            <w:webHidden/>
          </w:rPr>
          <w:t>20</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7" w:history="1">
        <w:r w:rsidR="00595E04" w:rsidRPr="009F742C">
          <w:rPr>
            <w:rStyle w:val="Hipercze"/>
            <w:b/>
            <w:noProof/>
          </w:rPr>
          <w:t>Rysunek 6.</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_Toc461435767 \h </w:instrText>
        </w:r>
        <w:r w:rsidR="00595E04">
          <w:rPr>
            <w:noProof/>
            <w:webHidden/>
          </w:rPr>
        </w:r>
        <w:r w:rsidR="00595E04">
          <w:rPr>
            <w:noProof/>
            <w:webHidden/>
          </w:rPr>
          <w:fldChar w:fldCharType="separate"/>
        </w:r>
        <w:r w:rsidR="003743DB">
          <w:rPr>
            <w:noProof/>
            <w:webHidden/>
          </w:rPr>
          <w:t>21</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8" w:history="1">
        <w:r w:rsidR="00595E04" w:rsidRPr="009F742C">
          <w:rPr>
            <w:rStyle w:val="Hipercze"/>
            <w:b/>
            <w:noProof/>
          </w:rPr>
          <w:t>Rysunek 7.</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od temperatury </w:t>
        </w:r>
        <m:oMath>
          <m:r>
            <w:rPr>
              <w:rStyle w:val="Hipercze"/>
              <w:rFonts w:ascii="Cambria Math" w:hAnsi="Cambria Math"/>
              <w:noProof/>
            </w:rPr>
            <m:t>T</m:t>
          </m:r>
        </m:oMath>
        <w:r w:rsidR="00595E04"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_Toc461435768 \h </w:instrText>
        </w:r>
        <w:r w:rsidR="00595E04">
          <w:rPr>
            <w:noProof/>
            <w:webHidden/>
          </w:rPr>
        </w:r>
        <w:r w:rsidR="00595E04">
          <w:rPr>
            <w:noProof/>
            <w:webHidden/>
          </w:rPr>
          <w:fldChar w:fldCharType="separate"/>
        </w:r>
        <w:r w:rsidR="003743DB">
          <w:rPr>
            <w:noProof/>
            <w:webHidden/>
          </w:rPr>
          <w:t>22</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69" w:history="1">
        <w:r w:rsidR="00595E04" w:rsidRPr="009F742C">
          <w:rPr>
            <w:rStyle w:val="Hipercze"/>
            <w:b/>
            <w:noProof/>
          </w:rPr>
          <w:t>Rysunek 8.</w:t>
        </w:r>
        <w:r w:rsidR="00595E04" w:rsidRPr="009F742C">
          <w:rPr>
            <w:rStyle w:val="Hipercze"/>
            <w:noProof/>
          </w:rPr>
          <w:t xml:space="preserve"> Wykres temperatury krytycznej </w:t>
        </w:r>
        <m:oMath>
          <m:r>
            <w:rPr>
              <w:rStyle w:val="Hipercze"/>
              <w:rFonts w:ascii="Cambria Math" w:hAnsi="Cambria Math"/>
              <w:noProof/>
            </w:rPr>
            <m:t>Tc</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_Toc461435769 \h </w:instrText>
        </w:r>
        <w:r w:rsidR="00595E04">
          <w:rPr>
            <w:noProof/>
            <w:webHidden/>
          </w:rPr>
        </w:r>
        <w:r w:rsidR="00595E04">
          <w:rPr>
            <w:noProof/>
            <w:webHidden/>
          </w:rPr>
          <w:fldChar w:fldCharType="separate"/>
        </w:r>
        <w:r w:rsidR="003743DB">
          <w:rPr>
            <w:noProof/>
            <w:webHidden/>
          </w:rPr>
          <w:t>23</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0" w:history="1">
        <w:r w:rsidR="00595E04" w:rsidRPr="009F742C">
          <w:rPr>
            <w:rStyle w:val="Hipercze"/>
            <w:b/>
            <w:noProof/>
          </w:rPr>
          <w:t>Rysunek 9.</w:t>
        </w:r>
        <w:r w:rsidR="00595E04" w:rsidRPr="009F742C">
          <w:rPr>
            <w:rStyle w:val="Hipercze"/>
            <w:noProof/>
          </w:rPr>
          <w:t xml:space="preserve"> Wykres temperatury krytycznej </w:t>
        </w:r>
        <m:oMath>
          <m:r>
            <w:rPr>
              <w:rStyle w:val="Hipercze"/>
              <w:rFonts w:ascii="Cambria Math" w:hAnsi="Cambria Math"/>
              <w:noProof/>
            </w:rPr>
            <m:t>Tc</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metali: (a) </w:t>
        </w:r>
        <m:oMath>
          <m:r>
            <w:rPr>
              <w:rStyle w:val="Hipercze"/>
              <w:rFonts w:ascii="Cambria Math" w:hAnsi="Cambria Math"/>
              <w:noProof/>
            </w:rPr>
            <m:t>Al</m:t>
          </m:r>
        </m:oMath>
        <w:r w:rsidR="00595E04" w:rsidRPr="009F742C">
          <w:rPr>
            <w:rStyle w:val="Hipercze"/>
            <w:noProof/>
          </w:rPr>
          <w:t xml:space="preserve">, (b) </w:t>
        </w:r>
        <m:oMath>
          <m:r>
            <w:rPr>
              <w:rStyle w:val="Hipercze"/>
              <w:rFonts w:ascii="Cambria Math" w:hAnsi="Cambria Math"/>
              <w:noProof/>
            </w:rPr>
            <m:t>Cd</m:t>
          </m:r>
        </m:oMath>
        <w:r w:rsidR="00595E04" w:rsidRPr="009F742C">
          <w:rPr>
            <w:rStyle w:val="Hipercze"/>
            <w:noProof/>
          </w:rPr>
          <w:t xml:space="preserve">, (c) </w:t>
        </w:r>
        <m:oMath>
          <m:r>
            <w:rPr>
              <w:rStyle w:val="Hipercze"/>
              <w:rFonts w:ascii="Cambria Math" w:hAnsi="Cambria Math"/>
              <w:noProof/>
            </w:rPr>
            <m:t>Sn</m:t>
          </m:r>
        </m:oMath>
        <w:r w:rsidR="00595E04" w:rsidRPr="009F742C">
          <w:rPr>
            <w:rStyle w:val="Hipercze"/>
            <w:noProof/>
          </w:rPr>
          <w:t xml:space="preserve"> oraz (d) </w:t>
        </w:r>
        <m:oMath>
          <m:r>
            <w:rPr>
              <w:rStyle w:val="Hipercze"/>
              <w:rFonts w:ascii="Cambria Math" w:hAnsi="Cambria Math"/>
              <w:noProof/>
            </w:rPr>
            <m:t>Pb</m:t>
          </m:r>
        </m:oMath>
        <w:r w:rsidR="00595E04">
          <w:rPr>
            <w:noProof/>
            <w:webHidden/>
          </w:rPr>
          <w:tab/>
        </w:r>
        <w:r w:rsidR="00595E04">
          <w:rPr>
            <w:noProof/>
            <w:webHidden/>
          </w:rPr>
          <w:fldChar w:fldCharType="begin"/>
        </w:r>
        <w:r w:rsidR="00595E04">
          <w:rPr>
            <w:noProof/>
            <w:webHidden/>
          </w:rPr>
          <w:instrText xml:space="preserve"> PAGEREF _Toc461435770 \h </w:instrText>
        </w:r>
        <w:r w:rsidR="00595E04">
          <w:rPr>
            <w:noProof/>
            <w:webHidden/>
          </w:rPr>
        </w:r>
        <w:r w:rsidR="00595E04">
          <w:rPr>
            <w:noProof/>
            <w:webHidden/>
          </w:rPr>
          <w:fldChar w:fldCharType="separate"/>
        </w:r>
        <w:r w:rsidR="003743DB">
          <w:rPr>
            <w:noProof/>
            <w:webHidden/>
          </w:rPr>
          <w:t>24</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1" w:history="1">
        <w:r w:rsidR="00595E04" w:rsidRPr="009F742C">
          <w:rPr>
            <w:rStyle w:val="Hipercze"/>
            <w:b/>
            <w:noProof/>
          </w:rPr>
          <w:t>Rysunek 10.</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różnych wartości parametrów: (a) </w:t>
        </w:r>
        <m:oMath>
          <m:r>
            <w:rPr>
              <w:rStyle w:val="Hipercze"/>
              <w:rFonts w:ascii="Cambria Math" w:hAnsi="Cambria Math"/>
              <w:noProof/>
            </w:rPr>
            <m:t>ED</m:t>
          </m:r>
        </m:oMath>
        <w:r w:rsidR="00595E04" w:rsidRPr="009F742C">
          <w:rPr>
            <w:rStyle w:val="Hipercze"/>
            <w:noProof/>
          </w:rPr>
          <w:t xml:space="preserve"> oraz (b) </w:t>
        </w:r>
        <m:oMath>
          <m:r>
            <w:rPr>
              <w:rStyle w:val="Hipercze"/>
              <w:rFonts w:ascii="Cambria Math" w:hAnsi="Cambria Math"/>
              <w:noProof/>
            </w:rPr>
            <m:t>gNbulk(0)</m:t>
          </m:r>
        </m:oMath>
        <w:r w:rsidR="00595E04">
          <w:rPr>
            <w:noProof/>
            <w:webHidden/>
          </w:rPr>
          <w:tab/>
        </w:r>
        <w:r w:rsidR="00595E04">
          <w:rPr>
            <w:noProof/>
            <w:webHidden/>
          </w:rPr>
          <w:fldChar w:fldCharType="begin"/>
        </w:r>
        <w:r w:rsidR="00595E04">
          <w:rPr>
            <w:noProof/>
            <w:webHidden/>
          </w:rPr>
          <w:instrText xml:space="preserve"> PAGEREF _Toc461435771 \h </w:instrText>
        </w:r>
        <w:r w:rsidR="00595E04">
          <w:rPr>
            <w:noProof/>
            <w:webHidden/>
          </w:rPr>
        </w:r>
        <w:r w:rsidR="00595E04">
          <w:rPr>
            <w:noProof/>
            <w:webHidden/>
          </w:rPr>
          <w:fldChar w:fldCharType="separate"/>
        </w:r>
        <w:r w:rsidR="003743DB">
          <w:rPr>
            <w:noProof/>
            <w:webHidden/>
          </w:rPr>
          <w:t>25</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2" w:history="1">
        <w:r w:rsidR="00595E04" w:rsidRPr="009F742C">
          <w:rPr>
            <w:rStyle w:val="Hipercze"/>
            <w:b/>
            <w:noProof/>
          </w:rPr>
          <w:t>Rysunek 11.</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różnych wartości potencjału chemicznego </w:t>
        </w:r>
        <m:oMath>
          <m:r>
            <w:rPr>
              <w:rStyle w:val="Hipercze"/>
              <w:rFonts w:ascii="Cambria Math" w:hAnsi="Cambria Math"/>
              <w:noProof/>
            </w:rPr>
            <m:t>μbulk</m:t>
          </m:r>
        </m:oMath>
        <w:r w:rsidR="00595E04">
          <w:rPr>
            <w:noProof/>
            <w:webHidden/>
          </w:rPr>
          <w:tab/>
        </w:r>
        <w:r w:rsidR="00595E04">
          <w:rPr>
            <w:noProof/>
            <w:webHidden/>
          </w:rPr>
          <w:fldChar w:fldCharType="begin"/>
        </w:r>
        <w:r w:rsidR="00595E04">
          <w:rPr>
            <w:noProof/>
            <w:webHidden/>
          </w:rPr>
          <w:instrText xml:space="preserve"> PAGEREF _Toc461435772 \h </w:instrText>
        </w:r>
        <w:r w:rsidR="00595E04">
          <w:rPr>
            <w:noProof/>
            <w:webHidden/>
          </w:rPr>
        </w:r>
        <w:r w:rsidR="00595E04">
          <w:rPr>
            <w:noProof/>
            <w:webHidden/>
          </w:rPr>
          <w:fldChar w:fldCharType="separate"/>
        </w:r>
        <w:r w:rsidR="003743DB">
          <w:rPr>
            <w:noProof/>
            <w:webHidden/>
          </w:rPr>
          <w:t>26</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3" w:history="1">
        <w:r w:rsidR="00595E04" w:rsidRPr="009F742C">
          <w:rPr>
            <w:rStyle w:val="Hipercze"/>
            <w:b/>
            <w:noProof/>
          </w:rPr>
          <w:t>Rysunek 12.</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rzeczywistych grubości monowarstw </w:t>
        </w:r>
        <m:oMath>
          <m:r>
            <w:rPr>
              <w:rStyle w:val="Hipercze"/>
              <w:rFonts w:ascii="Cambria Math" w:hAnsi="Cambria Math"/>
              <w:noProof/>
            </w:rPr>
            <m:t>Pb</m:t>
          </m:r>
        </m:oMath>
        <w:r w:rsidR="00595E04">
          <w:rPr>
            <w:noProof/>
            <w:webHidden/>
          </w:rPr>
          <w:tab/>
        </w:r>
        <w:r w:rsidR="00595E04">
          <w:rPr>
            <w:noProof/>
            <w:webHidden/>
          </w:rPr>
          <w:fldChar w:fldCharType="begin"/>
        </w:r>
        <w:r w:rsidR="00595E04">
          <w:rPr>
            <w:noProof/>
            <w:webHidden/>
          </w:rPr>
          <w:instrText xml:space="preserve"> PAGEREF _Toc461435773 \h </w:instrText>
        </w:r>
        <w:r w:rsidR="00595E04">
          <w:rPr>
            <w:noProof/>
            <w:webHidden/>
          </w:rPr>
        </w:r>
        <w:r w:rsidR="00595E04">
          <w:rPr>
            <w:noProof/>
            <w:webHidden/>
          </w:rPr>
          <w:fldChar w:fldCharType="separate"/>
        </w:r>
        <w:r w:rsidR="003743DB">
          <w:rPr>
            <w:noProof/>
            <w:webHidden/>
          </w:rPr>
          <w:t>27</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4" w:history="1">
        <w:r w:rsidR="00595E04" w:rsidRPr="009F742C">
          <w:rPr>
            <w:rStyle w:val="Hipercze"/>
            <w:b/>
            <w:noProof/>
          </w:rPr>
          <w:t>Rysunek 13.</w:t>
        </w:r>
        <w:r w:rsidR="00595E04" w:rsidRPr="009F742C">
          <w:rPr>
            <w:rStyle w:val="Hipercze"/>
            <w:noProof/>
          </w:rPr>
          <w:t xml:space="preserve"> Wykres</w:t>
        </w:r>
        <w:r w:rsidR="00595E04">
          <w:rPr>
            <w:noProof/>
            <w:webHidden/>
          </w:rPr>
          <w:tab/>
        </w:r>
        <w:r w:rsidR="00595E04">
          <w:rPr>
            <w:noProof/>
            <w:webHidden/>
          </w:rPr>
          <w:fldChar w:fldCharType="begin"/>
        </w:r>
        <w:r w:rsidR="00595E04">
          <w:rPr>
            <w:noProof/>
            <w:webHidden/>
          </w:rPr>
          <w:instrText xml:space="preserve"> PAGEREF _Toc461435774 \h </w:instrText>
        </w:r>
        <w:r w:rsidR="00595E04">
          <w:rPr>
            <w:noProof/>
            <w:webHidden/>
          </w:rPr>
        </w:r>
        <w:r w:rsidR="00595E04">
          <w:rPr>
            <w:noProof/>
            <w:webHidden/>
          </w:rPr>
          <w:fldChar w:fldCharType="separate"/>
        </w:r>
        <w:r w:rsidR="003743DB">
          <w:rPr>
            <w:noProof/>
            <w:webHidden/>
          </w:rPr>
          <w:t>28</w:t>
        </w:r>
        <w:r w:rsidR="00595E04">
          <w:rPr>
            <w:noProof/>
            <w:webHidden/>
          </w:rPr>
          <w:fldChar w:fldCharType="end"/>
        </w:r>
      </w:hyperlink>
    </w:p>
    <w:p w:rsidR="00595E04" w:rsidRDefault="0038633D">
      <w:pPr>
        <w:pStyle w:val="Spisilustracji"/>
        <w:tabs>
          <w:tab w:val="right" w:leader="dot" w:pos="8777"/>
        </w:tabs>
        <w:rPr>
          <w:rFonts w:eastAsiaTheme="minorEastAsia"/>
          <w:noProof/>
          <w:sz w:val="22"/>
          <w:lang w:eastAsia="pl-PL"/>
        </w:rPr>
      </w:pPr>
      <w:hyperlink w:anchor="_Toc461435775" w:history="1">
        <w:r w:rsidR="00595E04" w:rsidRPr="009F742C">
          <w:rPr>
            <w:rStyle w:val="Hipercze"/>
            <w:b/>
            <w:noProof/>
          </w:rPr>
          <w:t>Rysunek 14.</w:t>
        </w:r>
        <w:r w:rsidR="00595E04" w:rsidRPr="009F742C">
          <w:rPr>
            <w:rStyle w:val="Hipercze"/>
            <w:noProof/>
          </w:rPr>
          <w:t xml:space="preserve"> Porównanie z eksperymentem</w:t>
        </w:r>
        <w:r w:rsidR="00595E04">
          <w:rPr>
            <w:noProof/>
            <w:webHidden/>
          </w:rPr>
          <w:tab/>
        </w:r>
        <w:r w:rsidR="00595E04">
          <w:rPr>
            <w:noProof/>
            <w:webHidden/>
          </w:rPr>
          <w:fldChar w:fldCharType="begin"/>
        </w:r>
        <w:r w:rsidR="00595E04">
          <w:rPr>
            <w:noProof/>
            <w:webHidden/>
          </w:rPr>
          <w:instrText xml:space="preserve"> PAGEREF _Toc461435775 \h </w:instrText>
        </w:r>
        <w:r w:rsidR="00595E04">
          <w:rPr>
            <w:noProof/>
            <w:webHidden/>
          </w:rPr>
        </w:r>
        <w:r w:rsidR="00595E04">
          <w:rPr>
            <w:noProof/>
            <w:webHidden/>
          </w:rPr>
          <w:fldChar w:fldCharType="separate"/>
        </w:r>
        <w:r w:rsidR="003743DB">
          <w:rPr>
            <w:noProof/>
            <w:webHidden/>
          </w:rPr>
          <w:t>29</w:t>
        </w:r>
        <w:r w:rsidR="00595E04">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3D" w:rsidRDefault="0038633D" w:rsidP="00C02718">
      <w:pPr>
        <w:spacing w:after="0" w:line="240" w:lineRule="auto"/>
      </w:pPr>
      <w:r>
        <w:separator/>
      </w:r>
    </w:p>
  </w:endnote>
  <w:endnote w:type="continuationSeparator" w:id="0">
    <w:p w:rsidR="0038633D" w:rsidRDefault="0038633D"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EndPr/>
    <w:sdtContent>
      <w:p w:rsidR="0054197D" w:rsidRDefault="0054197D">
        <w:pPr>
          <w:pStyle w:val="Stopka"/>
          <w:jc w:val="center"/>
        </w:pPr>
        <w:r>
          <w:fldChar w:fldCharType="begin"/>
        </w:r>
        <w:r>
          <w:instrText>PAGE   \* MERGEFORMAT</w:instrText>
        </w:r>
        <w:r>
          <w:fldChar w:fldCharType="separate"/>
        </w:r>
        <w:r w:rsidR="003743DB">
          <w:rPr>
            <w:noProof/>
          </w:rPr>
          <w:t>21</w:t>
        </w:r>
        <w:r>
          <w:fldChar w:fldCharType="end"/>
        </w:r>
      </w:p>
    </w:sdtContent>
  </w:sdt>
  <w:p w:rsidR="0054197D" w:rsidRDefault="0054197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7D" w:rsidRDefault="0054197D">
    <w:pPr>
      <w:pStyle w:val="Stopka"/>
      <w:jc w:val="center"/>
    </w:pPr>
  </w:p>
  <w:p w:rsidR="0054197D" w:rsidRDefault="0054197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3D" w:rsidRDefault="0038633D" w:rsidP="00C02718">
      <w:pPr>
        <w:spacing w:after="0" w:line="240" w:lineRule="auto"/>
      </w:pPr>
      <w:r>
        <w:separator/>
      </w:r>
    </w:p>
  </w:footnote>
  <w:footnote w:type="continuationSeparator" w:id="0">
    <w:p w:rsidR="0038633D" w:rsidRDefault="0038633D"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23D39"/>
    <w:rsid w:val="00033DB7"/>
    <w:rsid w:val="000412B5"/>
    <w:rsid w:val="000447F5"/>
    <w:rsid w:val="00050D78"/>
    <w:rsid w:val="00057D3A"/>
    <w:rsid w:val="00080683"/>
    <w:rsid w:val="00085C25"/>
    <w:rsid w:val="000A593B"/>
    <w:rsid w:val="000C34DE"/>
    <w:rsid w:val="000C4B29"/>
    <w:rsid w:val="000C567B"/>
    <w:rsid w:val="000D2750"/>
    <w:rsid w:val="00101E0C"/>
    <w:rsid w:val="00110342"/>
    <w:rsid w:val="00110BFE"/>
    <w:rsid w:val="001112C7"/>
    <w:rsid w:val="001123B4"/>
    <w:rsid w:val="001249F6"/>
    <w:rsid w:val="00141DBA"/>
    <w:rsid w:val="00152B71"/>
    <w:rsid w:val="001772AA"/>
    <w:rsid w:val="00185C19"/>
    <w:rsid w:val="00191C79"/>
    <w:rsid w:val="00195E01"/>
    <w:rsid w:val="0019690E"/>
    <w:rsid w:val="001A5A9D"/>
    <w:rsid w:val="001B1EB6"/>
    <w:rsid w:val="001B5B2A"/>
    <w:rsid w:val="001B7B78"/>
    <w:rsid w:val="001E4FD3"/>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2F5AB2"/>
    <w:rsid w:val="0031138E"/>
    <w:rsid w:val="00324073"/>
    <w:rsid w:val="0032745A"/>
    <w:rsid w:val="00347A39"/>
    <w:rsid w:val="0036693A"/>
    <w:rsid w:val="003743DB"/>
    <w:rsid w:val="003773A4"/>
    <w:rsid w:val="00381472"/>
    <w:rsid w:val="00381B79"/>
    <w:rsid w:val="0038633D"/>
    <w:rsid w:val="003A23F4"/>
    <w:rsid w:val="003A588B"/>
    <w:rsid w:val="003C62F3"/>
    <w:rsid w:val="003F1C28"/>
    <w:rsid w:val="003F6CEF"/>
    <w:rsid w:val="00403030"/>
    <w:rsid w:val="0040642F"/>
    <w:rsid w:val="00421379"/>
    <w:rsid w:val="004312E7"/>
    <w:rsid w:val="00457312"/>
    <w:rsid w:val="00463B4E"/>
    <w:rsid w:val="004A0D50"/>
    <w:rsid w:val="004B09E6"/>
    <w:rsid w:val="004D10E0"/>
    <w:rsid w:val="004D6517"/>
    <w:rsid w:val="00511C3D"/>
    <w:rsid w:val="005168AF"/>
    <w:rsid w:val="00534BE7"/>
    <w:rsid w:val="00537DEA"/>
    <w:rsid w:val="00540432"/>
    <w:rsid w:val="0054197D"/>
    <w:rsid w:val="00554E0C"/>
    <w:rsid w:val="00561699"/>
    <w:rsid w:val="00570B36"/>
    <w:rsid w:val="00595E04"/>
    <w:rsid w:val="005A018F"/>
    <w:rsid w:val="005B13B6"/>
    <w:rsid w:val="005C7CA4"/>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A125A"/>
    <w:rsid w:val="006B4077"/>
    <w:rsid w:val="006B78F4"/>
    <w:rsid w:val="006C1496"/>
    <w:rsid w:val="006C2E05"/>
    <w:rsid w:val="006C2F49"/>
    <w:rsid w:val="006D6BC3"/>
    <w:rsid w:val="006E02B6"/>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4616E"/>
    <w:rsid w:val="008513AB"/>
    <w:rsid w:val="008538F5"/>
    <w:rsid w:val="00860EB8"/>
    <w:rsid w:val="00873224"/>
    <w:rsid w:val="0089527D"/>
    <w:rsid w:val="00895B79"/>
    <w:rsid w:val="008A4444"/>
    <w:rsid w:val="008B3EAF"/>
    <w:rsid w:val="008B4534"/>
    <w:rsid w:val="008B5BB0"/>
    <w:rsid w:val="008D25D5"/>
    <w:rsid w:val="008E461B"/>
    <w:rsid w:val="008E5476"/>
    <w:rsid w:val="00905171"/>
    <w:rsid w:val="009121C4"/>
    <w:rsid w:val="00921F78"/>
    <w:rsid w:val="00924446"/>
    <w:rsid w:val="00937694"/>
    <w:rsid w:val="0096649D"/>
    <w:rsid w:val="00976566"/>
    <w:rsid w:val="0098221C"/>
    <w:rsid w:val="009A389C"/>
    <w:rsid w:val="009A6BA1"/>
    <w:rsid w:val="009C27D9"/>
    <w:rsid w:val="009C284E"/>
    <w:rsid w:val="009C4E6B"/>
    <w:rsid w:val="009D21C8"/>
    <w:rsid w:val="00A007DB"/>
    <w:rsid w:val="00A044CC"/>
    <w:rsid w:val="00A2085E"/>
    <w:rsid w:val="00A25CEE"/>
    <w:rsid w:val="00A3354F"/>
    <w:rsid w:val="00A33691"/>
    <w:rsid w:val="00A36B0E"/>
    <w:rsid w:val="00A64FFF"/>
    <w:rsid w:val="00A67F96"/>
    <w:rsid w:val="00A73F4F"/>
    <w:rsid w:val="00A90C20"/>
    <w:rsid w:val="00A9110B"/>
    <w:rsid w:val="00A914E4"/>
    <w:rsid w:val="00AA470E"/>
    <w:rsid w:val="00AA48E0"/>
    <w:rsid w:val="00AA7F73"/>
    <w:rsid w:val="00AD0D57"/>
    <w:rsid w:val="00AD1534"/>
    <w:rsid w:val="00AD427D"/>
    <w:rsid w:val="00AD50BE"/>
    <w:rsid w:val="00B06F32"/>
    <w:rsid w:val="00B07F68"/>
    <w:rsid w:val="00B11D80"/>
    <w:rsid w:val="00B42E23"/>
    <w:rsid w:val="00B4633F"/>
    <w:rsid w:val="00B614F2"/>
    <w:rsid w:val="00B62480"/>
    <w:rsid w:val="00B63A09"/>
    <w:rsid w:val="00B65A2A"/>
    <w:rsid w:val="00BB3E82"/>
    <w:rsid w:val="00BC7DF9"/>
    <w:rsid w:val="00BD641F"/>
    <w:rsid w:val="00BE4959"/>
    <w:rsid w:val="00C02718"/>
    <w:rsid w:val="00C1292D"/>
    <w:rsid w:val="00C3178A"/>
    <w:rsid w:val="00C33480"/>
    <w:rsid w:val="00C559A1"/>
    <w:rsid w:val="00C61301"/>
    <w:rsid w:val="00C72634"/>
    <w:rsid w:val="00C90E3D"/>
    <w:rsid w:val="00C95027"/>
    <w:rsid w:val="00CA02EB"/>
    <w:rsid w:val="00CA274B"/>
    <w:rsid w:val="00CB4075"/>
    <w:rsid w:val="00CB4399"/>
    <w:rsid w:val="00CE3CD8"/>
    <w:rsid w:val="00D00BE2"/>
    <w:rsid w:val="00D012DE"/>
    <w:rsid w:val="00D2329F"/>
    <w:rsid w:val="00D50AE3"/>
    <w:rsid w:val="00D50C71"/>
    <w:rsid w:val="00D673D2"/>
    <w:rsid w:val="00D7176A"/>
    <w:rsid w:val="00D97D86"/>
    <w:rsid w:val="00DA4C8A"/>
    <w:rsid w:val="00DA5A46"/>
    <w:rsid w:val="00DB6AD2"/>
    <w:rsid w:val="00DB6F55"/>
    <w:rsid w:val="00DB73C6"/>
    <w:rsid w:val="00DB7B6B"/>
    <w:rsid w:val="00DB7D98"/>
    <w:rsid w:val="00DF6343"/>
    <w:rsid w:val="00E12816"/>
    <w:rsid w:val="00E14297"/>
    <w:rsid w:val="00E17A99"/>
    <w:rsid w:val="00E335EB"/>
    <w:rsid w:val="00E5122F"/>
    <w:rsid w:val="00E515E0"/>
    <w:rsid w:val="00E66712"/>
    <w:rsid w:val="00EB7E1A"/>
    <w:rsid w:val="00EC4B31"/>
    <w:rsid w:val="00EC4B4C"/>
    <w:rsid w:val="00ED0FFC"/>
    <w:rsid w:val="00ED28E0"/>
    <w:rsid w:val="00ED33DF"/>
    <w:rsid w:val="00ED468D"/>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s>
</file>

<file path=customXml/itemProps1.xml><?xml version="1.0" encoding="utf-8"?>
<ds:datastoreItem xmlns:ds="http://schemas.openxmlformats.org/officeDocument/2006/customXml" ds:itemID="{2ABB0DE1-8506-49A2-A746-CFF9BB76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Pages>
  <Words>5080</Words>
  <Characters>30484</Characters>
  <Application>Microsoft Office Word</Application>
  <DocSecurity>0</DocSecurity>
  <Lines>254</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90</cp:revision>
  <cp:lastPrinted>2016-09-12T17:38:00Z</cp:lastPrinted>
  <dcterms:created xsi:type="dcterms:W3CDTF">2016-09-03T21:58:00Z</dcterms:created>
  <dcterms:modified xsi:type="dcterms:W3CDTF">2016-09-12T17:39:00Z</dcterms:modified>
</cp:coreProperties>
</file>