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81" w:rsidRDefault="004D4720" w:rsidP="0068788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l-PL"/>
        </w:rPr>
        <w:drawing>
          <wp:anchor distT="0" distB="0" distL="114300" distR="114300" simplePos="0" relativeHeight="251661312" behindDoc="0" locked="0" layoutInCell="1" allowOverlap="1" wp14:anchorId="2E8BFF22" wp14:editId="4BC79424">
            <wp:simplePos x="0" y="0"/>
            <wp:positionH relativeFrom="margin">
              <wp:posOffset>-311854</wp:posOffset>
            </wp:positionH>
            <wp:positionV relativeFrom="margin">
              <wp:posOffset>-210391</wp:posOffset>
            </wp:positionV>
            <wp:extent cx="6113551" cy="1877987"/>
            <wp:effectExtent l="0" t="0" r="1905" b="825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51" cy="18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EC5">
        <w:rPr>
          <w:b/>
          <w:sz w:val="40"/>
          <w:szCs w:val="40"/>
        </w:rPr>
        <w:t xml:space="preserve"> </w:t>
      </w:r>
    </w:p>
    <w:p w:rsidR="004D4720" w:rsidRDefault="004D4720" w:rsidP="00687881">
      <w:pPr>
        <w:rPr>
          <w:b/>
          <w:sz w:val="40"/>
          <w:szCs w:val="40"/>
        </w:rPr>
      </w:pPr>
    </w:p>
    <w:p w:rsidR="004D4720" w:rsidRDefault="004D4720" w:rsidP="00687881">
      <w:pPr>
        <w:rPr>
          <w:b/>
          <w:sz w:val="40"/>
          <w:szCs w:val="40"/>
        </w:rPr>
      </w:pPr>
    </w:p>
    <w:p w:rsidR="004D4720" w:rsidRPr="00B87EC5" w:rsidRDefault="004D4720" w:rsidP="00687881">
      <w:pPr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A46196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5812" w:history="1">
            <w:r w:rsidR="00A46196" w:rsidRPr="00DF4044">
              <w:rPr>
                <w:rStyle w:val="Hipercze"/>
                <w:noProof/>
              </w:rPr>
              <w:t>1.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Wprowadzenie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_Toc462235812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7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3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Wstęp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_Toc462235813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7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4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Cel pracy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_Toc462235814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8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5" w:history="1">
            <w:r w:rsidR="00A46196" w:rsidRPr="00DF4044">
              <w:rPr>
                <w:rStyle w:val="Hipercze"/>
                <w:noProof/>
              </w:rPr>
              <w:t>2.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Wstęp teoretyczny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_Toc462235815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9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6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Równanie Bogoliubova-de Gennes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_Toc462235816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9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7" w:history="1">
            <w:r w:rsidR="00A46196" w:rsidRPr="00DF4044">
              <w:rPr>
                <w:rStyle w:val="Hipercze"/>
                <w:noProof/>
              </w:rPr>
              <w:t>3.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Wyniki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_Toc462235817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15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8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Potencjał chemiczny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_Toc462235818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15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19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Przerwa nadprzewodząca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_Toc462235819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16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0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Temperatura krytyczna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_Toc462235820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20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1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Wyniki dla innych materiałów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_Toc462235821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22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2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Własności nadprzewodzące w funkcji parametrów modelu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_Toc462235822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23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3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Porównanie jakościowe z eksperymentem dla warstw Pb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_Toc462235823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24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4" w:history="1">
            <w:r w:rsidR="00A46196" w:rsidRPr="00DF4044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Porównanie ilościowe z eksperymentem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_Toc462235824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26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A46196" w:rsidRDefault="00694920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35825" w:history="1">
            <w:r w:rsidR="00A46196" w:rsidRPr="00DF4044">
              <w:rPr>
                <w:rStyle w:val="Hipercze"/>
                <w:noProof/>
              </w:rPr>
              <w:t>4.</w:t>
            </w:r>
            <w:r w:rsidR="00A46196">
              <w:rPr>
                <w:rFonts w:cstheme="minorBidi"/>
                <w:noProof/>
                <w:sz w:val="22"/>
              </w:rPr>
              <w:tab/>
            </w:r>
            <w:r w:rsidR="00A46196" w:rsidRPr="00DF4044">
              <w:rPr>
                <w:rStyle w:val="Hipercze"/>
                <w:noProof/>
              </w:rPr>
              <w:t>Podsumowanie</w:t>
            </w:r>
            <w:r w:rsidR="00A46196">
              <w:rPr>
                <w:noProof/>
                <w:webHidden/>
              </w:rPr>
              <w:tab/>
            </w:r>
            <w:r w:rsidR="00A46196">
              <w:rPr>
                <w:noProof/>
                <w:webHidden/>
              </w:rPr>
              <w:fldChar w:fldCharType="begin"/>
            </w:r>
            <w:r w:rsidR="00A46196">
              <w:rPr>
                <w:noProof/>
                <w:webHidden/>
              </w:rPr>
              <w:instrText xml:space="preserve"> PAGEREF _Toc462235825 \h </w:instrText>
            </w:r>
            <w:r w:rsidR="00A46196">
              <w:rPr>
                <w:noProof/>
                <w:webHidden/>
              </w:rPr>
            </w:r>
            <w:r w:rsidR="00A46196">
              <w:rPr>
                <w:noProof/>
                <w:webHidden/>
              </w:rPr>
              <w:fldChar w:fldCharType="separate"/>
            </w:r>
            <w:r w:rsidR="00884C68">
              <w:rPr>
                <w:noProof/>
                <w:webHidden/>
              </w:rPr>
              <w:t>29</w:t>
            </w:r>
            <w:r w:rsidR="00A46196"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0" w:name="_Toc462235812"/>
      <w:r w:rsidRPr="00FB1852">
        <w:lastRenderedPageBreak/>
        <w:t>Wprowadzenie</w:t>
      </w:r>
      <w:bookmarkEnd w:id="0"/>
    </w:p>
    <w:p w:rsidR="005B13B6" w:rsidRPr="00534BE7" w:rsidRDefault="00FC2BDB" w:rsidP="005A163B">
      <w:pPr>
        <w:pStyle w:val="Nagwek2"/>
      </w:pPr>
      <w:bookmarkStart w:id="1" w:name="_Toc462235813"/>
      <w:r w:rsidRPr="005A163B">
        <w:t>Wstęp</w:t>
      </w:r>
      <w:bookmarkEnd w:id="1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r w:rsidR="00C02718" w:rsidRPr="007D44E5">
        <w:rPr>
          <w:szCs w:val="24"/>
        </w:rPr>
        <w:t>nanowarstwy,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nanocząstki</w:t>
      </w:r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Blatt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EndPr/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F43126">
            <w:rPr>
              <w:rFonts w:eastAsiaTheme="minorEastAsia"/>
              <w:noProof/>
              <w:szCs w:val="24"/>
            </w:rPr>
            <w:t xml:space="preserve"> </w:t>
          </w:r>
          <w:r w:rsidR="00F43126" w:rsidRPr="00F43126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</w:t>
      </w:r>
      <w:r w:rsidR="002B4593">
        <w:rPr>
          <w:szCs w:val="24"/>
        </w:rPr>
        <w:br/>
      </w:r>
      <w:r w:rsidR="00C02718">
        <w:rPr>
          <w:szCs w:val="24"/>
        </w:rPr>
        <w:t xml:space="preserve">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</w:t>
      </w:r>
      <w:r w:rsidR="005A163B">
        <w:rPr>
          <w:szCs w:val="24"/>
        </w:rPr>
        <w:br/>
      </w:r>
      <w:r w:rsidRPr="00334FD0">
        <w:rPr>
          <w:szCs w:val="24"/>
        </w:rPr>
        <w:t xml:space="preserve">z technologicznego punktu widzenia </w:t>
      </w:r>
      <w:r w:rsidR="00C02718">
        <w:rPr>
          <w:szCs w:val="24"/>
        </w:rPr>
        <w:t xml:space="preserve"> wiele trudności w wytwarzaniu warstw </w:t>
      </w:r>
      <w:r w:rsidR="002B4593">
        <w:rPr>
          <w:szCs w:val="24"/>
        </w:rPr>
        <w:br/>
      </w:r>
      <w:r w:rsidR="00C02718">
        <w:rPr>
          <w:szCs w:val="24"/>
        </w:rPr>
        <w:t xml:space="preserve">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>i nadprzewodzącymi  nanoukładów</w:t>
      </w:r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>Ostatnio, Guo i in. w artykule</w:t>
      </w:r>
      <w:sdt>
        <w:sdtPr>
          <w:rPr>
            <w:szCs w:val="24"/>
          </w:rPr>
          <w:id w:val="1668826084"/>
          <w:citation/>
        </w:sdtPr>
        <w:sdtEndPr/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>opisali wytwarzanie nanowarstw ołowiu na podłożu krzemowym i zaobserwowali wspomniane wyżej oscylacje temperatury krytycznej w funkcji liczby monowarstw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EndPr/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monolayer – monowarstwa)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>składających się z parzystej liczby monowarstw. Badania nad nanowarstwami ołowiu zostały rozszerzone przez Eom i in. w artykule</w:t>
      </w:r>
      <w:sdt>
        <w:sdtPr>
          <w:rPr>
            <w:szCs w:val="24"/>
          </w:rPr>
          <w:id w:val="-2048363360"/>
          <w:citation/>
        </w:sdtPr>
        <w:sdtEndPr/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zostały </w:t>
      </w:r>
      <w:r>
        <w:rPr>
          <w:rFonts w:eastAsiaTheme="minorEastAsia"/>
          <w:szCs w:val="24"/>
        </w:rPr>
        <w:lastRenderedPageBreak/>
        <w:t>potwierdzone w</w:t>
      </w:r>
      <w:r w:rsidR="00321A19">
        <w:rPr>
          <w:rFonts w:eastAsiaTheme="minorEastAsia"/>
          <w:szCs w:val="24"/>
        </w:rPr>
        <w:t xml:space="preserve"> warstwach ołowiu o grubości 5 -</w:t>
      </w:r>
      <w:r>
        <w:rPr>
          <w:rFonts w:eastAsiaTheme="minorEastAsia"/>
          <w:szCs w:val="24"/>
        </w:rPr>
        <w:t xml:space="preserve">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</w:t>
      </w:r>
      <w:r w:rsidR="005A163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EndPr/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nanowarstw atomowych (z ang. bilayer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even-odd oscillations). Jak </w:t>
      </w:r>
      <w:r w:rsidR="00334FD0" w:rsidRPr="00334FD0">
        <w:rPr>
          <w:rFonts w:eastAsiaTheme="minorEastAsia"/>
          <w:szCs w:val="24"/>
        </w:rPr>
        <w:t xml:space="preserve">pokazano, </w:t>
      </w:r>
      <w:r w:rsidR="005A163B">
        <w:rPr>
          <w:rFonts w:eastAsiaTheme="minorEastAsia"/>
          <w:szCs w:val="24"/>
        </w:rPr>
        <w:br/>
      </w:r>
      <w:r w:rsidR="00334FD0" w:rsidRPr="00334FD0">
        <w:rPr>
          <w:rFonts w:eastAsiaTheme="minorEastAsia"/>
          <w:szCs w:val="24"/>
        </w:rPr>
        <w:t>w odpowiednich zakresach grubości warstw</w:t>
      </w:r>
      <w:r>
        <w:rPr>
          <w:rFonts w:eastAsiaTheme="minorEastAsia"/>
          <w:szCs w:val="24"/>
        </w:rPr>
        <w:t>, temperatura krytyczna dla warstw o parzystej liczbie monowarstw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mon</w:t>
      </w:r>
      <w:r w:rsidR="00334FD0">
        <w:rPr>
          <w:rFonts w:eastAsiaTheme="minorEastAsia"/>
          <w:szCs w:val="24"/>
        </w:rPr>
        <w:t>owarstw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EndPr/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EndPr/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Ostanie prace w zakresie badań nad nadprzewodnictwem w układach nanoskop</w:t>
      </w:r>
      <w:r>
        <w:rPr>
          <w:rFonts w:eastAsiaTheme="minorEastAsia"/>
          <w:szCs w:val="24"/>
        </w:rPr>
        <w:t xml:space="preserve">owych dotyczą nadprzewodnictwa </w:t>
      </w:r>
      <w:r w:rsidRPr="00334FD0">
        <w:rPr>
          <w:rFonts w:eastAsiaTheme="minorEastAsia"/>
          <w:szCs w:val="24"/>
        </w:rPr>
        <w:t xml:space="preserve">w ultra-cienkich warstwach metalicznych </w:t>
      </w:r>
      <w:r w:rsidR="005A163B">
        <w:rPr>
          <w:rFonts w:eastAsiaTheme="minorEastAsia"/>
          <w:szCs w:val="24"/>
        </w:rPr>
        <w:br/>
      </w:r>
      <w:r w:rsidRPr="00334FD0">
        <w:rPr>
          <w:rFonts w:eastAsiaTheme="minorEastAsia"/>
          <w:szCs w:val="24"/>
        </w:rPr>
        <w:t xml:space="preserve">o grubości 1 ML </w:t>
      </w:r>
      <w:sdt>
        <w:sdtPr>
          <w:rPr>
            <w:rFonts w:eastAsiaTheme="minorEastAsia"/>
            <w:szCs w:val="24"/>
          </w:rPr>
          <w:id w:val="1692802058"/>
          <w:citation/>
        </w:sdtPr>
        <w:sdtEndPr/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Zha10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[6]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="009C0EE3">
        <w:rPr>
          <w:rFonts w:eastAsiaTheme="minorEastAsia"/>
          <w:szCs w:val="24"/>
        </w:rPr>
        <w:t xml:space="preserve"> </w:t>
      </w:r>
      <w:r w:rsidRPr="00334FD0">
        <w:rPr>
          <w:rFonts w:eastAsiaTheme="minorEastAsia"/>
          <w:szCs w:val="24"/>
        </w:rPr>
        <w:t>oraz nadprzewodnictwa w cienkich warstwach półprzewodnikowych</w:t>
      </w:r>
      <w:r w:rsidR="009C0EE3">
        <w:rPr>
          <w:rFonts w:eastAsiaTheme="minorEastAsia"/>
          <w:szCs w:val="24"/>
        </w:rPr>
        <w:t xml:space="preserve"> </w:t>
      </w:r>
      <w:sdt>
        <w:sdtPr>
          <w:rPr>
            <w:rFonts w:eastAsiaTheme="minorEastAsia"/>
            <w:szCs w:val="24"/>
          </w:rPr>
          <w:id w:val="-1918245609"/>
          <w:citation/>
        </w:sdtPr>
        <w:sdtEndPr/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Nav16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[7]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Pr="00334FD0">
        <w:rPr>
          <w:rFonts w:eastAsiaTheme="minorEastAsia"/>
          <w:szCs w:val="24"/>
        </w:rPr>
        <w:t>.</w:t>
      </w:r>
    </w:p>
    <w:p w:rsidR="00FC2BDB" w:rsidRPr="00FC2BDB" w:rsidRDefault="00FC2BDB" w:rsidP="005A163B">
      <w:pPr>
        <w:pStyle w:val="Nagwek2"/>
        <w:rPr>
          <w:rFonts w:eastAsiaTheme="minorEastAsia"/>
        </w:rPr>
      </w:pPr>
      <w:bookmarkStart w:id="2" w:name="_Toc462235814"/>
      <w:r w:rsidRPr="005A163B">
        <w:t>Cel</w:t>
      </w:r>
      <w:r w:rsidRPr="00FC2BDB">
        <w:rPr>
          <w:rFonts w:eastAsiaTheme="minorEastAsia"/>
        </w:rPr>
        <w:t xml:space="preserve"> pracy</w:t>
      </w:r>
      <w:bookmarkEnd w:id="2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>wnanie Bogoliubova-de Gennes</w:t>
      </w:r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Bogoliubova-de Gennes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nanowarstw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nanowarstw. Symulacje przeprowadzano 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3" w:name="_Toc462235815"/>
      <w:r>
        <w:lastRenderedPageBreak/>
        <w:t>Wstęp teoretyczny</w:t>
      </w:r>
      <w:bookmarkEnd w:id="3"/>
    </w:p>
    <w:p w:rsidR="005B13B6" w:rsidRPr="00534BE7" w:rsidRDefault="002223FF" w:rsidP="005A163B">
      <w:pPr>
        <w:pStyle w:val="Nagwek2"/>
      </w:pPr>
      <w:bookmarkStart w:id="4" w:name="_Toc462235816"/>
      <w:r w:rsidRPr="005A163B">
        <w:t>Równanie</w:t>
      </w:r>
      <w:r w:rsidRPr="002223FF">
        <w:t xml:space="preserve"> Bogoliubova-de Gennes</w:t>
      </w:r>
      <w:bookmarkEnd w:id="4"/>
    </w:p>
    <w:p w:rsidR="00C90E3D" w:rsidRDefault="001B5B2A" w:rsidP="00A02B2D">
      <w:pPr>
        <w:spacing w:after="280"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</w:t>
      </w:r>
      <w:r w:rsidR="005A163B">
        <w:rPr>
          <w:szCs w:val="24"/>
        </w:rPr>
        <w:br/>
      </w:r>
      <w:r w:rsidRPr="005F42DF">
        <w:rPr>
          <w:szCs w:val="24"/>
        </w:rPr>
        <w:t>i Roberta Shrieffera)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EndPr/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  <w:r w:rsidR="009D21C8">
        <w:rPr>
          <w:szCs w:val="24"/>
        </w:rPr>
        <w:t>Na podstawie teorii BCS</w:t>
      </w:r>
      <w:r w:rsidR="00394FE2">
        <w:rPr>
          <w:szCs w:val="24"/>
        </w:rPr>
        <w:t>,</w:t>
      </w:r>
      <w:r w:rsidR="009D21C8"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r w:rsidR="00AD427D">
        <w:rPr>
          <w:szCs w:val="24"/>
        </w:rPr>
        <w:t xml:space="preserve">Bogoliubov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 xml:space="preserve">Pierre-Gilles </w:t>
      </w:r>
      <w:r w:rsidR="00AA7F73">
        <w:rPr>
          <w:szCs w:val="24"/>
        </w:rPr>
        <w:t xml:space="preserve">de Gennes </w:t>
      </w:r>
      <w:r w:rsidR="00AD427D">
        <w:rPr>
          <w:szCs w:val="24"/>
        </w:rPr>
        <w:t>ewoluował w równanie Bogoliubova-de Gennes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EndPr/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 xml:space="preserve">. Równanie to dobrze nadaje się do opisu nadprzewodzących właściwości układów mikroskopowych, </w:t>
      </w:r>
      <w:r w:rsidR="00A205C3">
        <w:rPr>
          <w:szCs w:val="24"/>
        </w:rPr>
        <w:br/>
      </w:r>
      <w:r w:rsidR="00AD427D">
        <w:rPr>
          <w:szCs w:val="24"/>
        </w:rPr>
        <w:t>w których występują nieciągłości</w:t>
      </w:r>
      <w:r w:rsidR="00A02B2D">
        <w:rPr>
          <w:szCs w:val="24"/>
        </w:rPr>
        <w:t>,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>Równanie Bogoliubova-de Gennes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694920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5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884C68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5"/>
          </w:p>
        </w:tc>
      </w:tr>
    </w:tbl>
    <w:p w:rsidR="005A163B" w:rsidRDefault="00AD1534" w:rsidP="00A02B2D">
      <w:pPr>
        <w:spacing w:before="240" w:after="280"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F43126">
        <w:rPr>
          <w:rFonts w:asciiTheme="majorHAnsi" w:hAnsiTheme="majorHAnsi"/>
          <w:b/>
          <w:szCs w:val="24"/>
        </w:rPr>
        <w:fldChar w:fldCharType="begin"/>
      </w:r>
      <w:r w:rsidR="00050D78" w:rsidRPr="00F43126">
        <w:rPr>
          <w:rFonts w:asciiTheme="majorHAnsi" w:hAnsiTheme="majorHAnsi"/>
          <w:b/>
          <w:szCs w:val="24"/>
        </w:rPr>
        <w:instrText xml:space="preserve"> REF _Ref456993938 </w:instrText>
      </w:r>
      <w:r w:rsidR="00050D78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F43126">
        <w:rPr>
          <w:rFonts w:asciiTheme="majorHAnsi" w:hAnsiTheme="majorHAnsi"/>
          <w:b/>
          <w:szCs w:val="24"/>
        </w:rPr>
        <w:instrText xml:space="preserve"> \h  \* MERGEFORMAT </w:instrText>
      </w:r>
      <w:r w:rsidR="00050D78" w:rsidRPr="00F43126">
        <w:rPr>
          <w:rFonts w:asciiTheme="majorHAnsi" w:hAnsiTheme="majorHAnsi"/>
          <w:b/>
          <w:szCs w:val="24"/>
        </w:rPr>
      </w:r>
      <w:r w:rsidR="00050D78" w:rsidRPr="00F43126">
        <w:rPr>
          <w:rFonts w:asciiTheme="majorHAnsi" w:hAnsiTheme="majorHAnsi"/>
          <w:b/>
          <w:szCs w:val="24"/>
        </w:rPr>
        <w:fldChar w:fldCharType="separate"/>
      </w:r>
      <w:r w:rsidR="00884C68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050D78" w:rsidRPr="00F43126">
        <w:rPr>
          <w:rFonts w:asciiTheme="majorHAnsi" w:hAnsiTheme="majorHAnsi"/>
          <w:b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EA4D1C" w:rsidP="00050D78">
      <w:pPr>
        <w:keepNext/>
        <w:spacing w:line="360" w:lineRule="auto"/>
        <w:jc w:val="center"/>
      </w:pPr>
      <w:r w:rsidRPr="00EA4D1C">
        <w:rPr>
          <w:noProof/>
          <w:lang w:eastAsia="pl-PL"/>
        </w:rPr>
        <w:lastRenderedPageBreak/>
        <w:drawing>
          <wp:inline distT="0" distB="0" distL="0" distR="0">
            <wp:extent cx="5105400" cy="1380490"/>
            <wp:effectExtent l="0" t="0" r="0" b="0"/>
            <wp:docPr id="2" name="Obraz 2" descr="C:\Users\Comarch\Desktop\os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arch\Desktop\os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6" w:name="_Ref456993938"/>
      <w:bookmarkStart w:id="7" w:name="_Ref456993922"/>
      <w:bookmarkStart w:id="8" w:name="_Toc462236485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884C68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6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nanowarstwy</w:t>
      </w:r>
      <w:bookmarkEnd w:id="7"/>
      <w:r w:rsidR="009E567D">
        <w:rPr>
          <w:i w:val="0"/>
          <w:color w:val="auto"/>
          <w:sz w:val="24"/>
          <w:szCs w:val="24"/>
        </w:rPr>
        <w:t>.</w:t>
      </w:r>
      <w:bookmarkEnd w:id="8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694920" w:rsidP="00A02B2D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9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884C68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9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694920" w:rsidP="00A02B2D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A02B2D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0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884C68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0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884C68" w:rsidRPr="00191C79">
        <w:rPr>
          <w:szCs w:val="24"/>
        </w:rPr>
        <w:t>(</w:t>
      </w:r>
      <w:r w:rsidR="00884C68">
        <w:rPr>
          <w:noProof/>
          <w:szCs w:val="24"/>
        </w:rPr>
        <w:t>2</w:t>
      </w:r>
      <w:r w:rsidR="00884C68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884C68" w:rsidRPr="00191C79">
        <w:rPr>
          <w:rFonts w:eastAsiaTheme="minorEastAsia"/>
          <w:szCs w:val="24"/>
        </w:rPr>
        <w:t>(</w:t>
      </w:r>
      <w:r w:rsidR="00884C68">
        <w:rPr>
          <w:rFonts w:eastAsiaTheme="minorEastAsia"/>
          <w:noProof/>
          <w:szCs w:val="24"/>
        </w:rPr>
        <w:t>3</w:t>
      </w:r>
      <w:r w:rsidR="00884C68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884C68" w:rsidRPr="008B5BB0">
        <w:rPr>
          <w:szCs w:val="24"/>
        </w:rPr>
        <w:t>(</w:t>
      </w:r>
      <w:r w:rsidR="00884C68">
        <w:rPr>
          <w:noProof/>
          <w:szCs w:val="24"/>
        </w:rPr>
        <w:t>1</w:t>
      </w:r>
      <w:r w:rsidR="00884C68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69492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1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1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F43126">
        <w:rPr>
          <w:rFonts w:asciiTheme="majorHAnsi" w:hAnsiTheme="majorHAnsi"/>
          <w:b/>
          <w:szCs w:val="24"/>
        </w:rPr>
        <w:fldChar w:fldCharType="begin"/>
      </w:r>
      <w:r w:rsidR="00152B71" w:rsidRPr="00F43126">
        <w:rPr>
          <w:rFonts w:asciiTheme="majorHAnsi" w:hAnsiTheme="majorHAnsi"/>
          <w:b/>
          <w:szCs w:val="24"/>
        </w:rPr>
        <w:instrText xml:space="preserve"> REF _Ref456995298</w:instrText>
      </w:r>
      <w:r w:rsidR="002260FF" w:rsidRPr="00F43126">
        <w:rPr>
          <w:rFonts w:asciiTheme="majorHAnsi" w:hAnsiTheme="majorHAnsi"/>
          <w:b/>
          <w:szCs w:val="24"/>
        </w:rPr>
        <w:instrText xml:space="preserve"> </w:instrText>
      </w:r>
      <w:r w:rsidR="002260FF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F43126">
        <w:rPr>
          <w:rFonts w:asciiTheme="majorHAnsi" w:hAnsiTheme="majorHAnsi"/>
          <w:b/>
          <w:szCs w:val="24"/>
        </w:rPr>
        <w:instrText xml:space="preserve"> \h </w:instrText>
      </w:r>
      <w:r w:rsidR="002260FF" w:rsidRPr="00F43126">
        <w:rPr>
          <w:rFonts w:asciiTheme="majorHAnsi" w:hAnsiTheme="majorHAnsi"/>
          <w:b/>
          <w:szCs w:val="24"/>
        </w:rPr>
        <w:instrText xml:space="preserve"> \* MERGEFORMAT </w:instrText>
      </w:r>
      <w:r w:rsidR="00152B71" w:rsidRPr="00F43126">
        <w:rPr>
          <w:rFonts w:asciiTheme="majorHAnsi" w:hAnsiTheme="majorHAnsi"/>
          <w:b/>
          <w:szCs w:val="24"/>
        </w:rPr>
      </w:r>
      <w:r w:rsidR="00152B71" w:rsidRPr="00F43126">
        <w:rPr>
          <w:rFonts w:asciiTheme="majorHAnsi" w:hAnsiTheme="majorHAnsi"/>
          <w:b/>
          <w:szCs w:val="24"/>
        </w:rPr>
        <w:fldChar w:fldCharType="separate"/>
      </w:r>
      <w:r w:rsidR="00884C68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2</w:t>
      </w:r>
      <w:r w:rsidR="00152B71" w:rsidRPr="00F43126">
        <w:rPr>
          <w:rFonts w:asciiTheme="majorHAnsi" w:hAnsiTheme="majorHAnsi"/>
          <w:b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694920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694920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15B0B85" wp14:editId="4CD5EF64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2" w:name="_Ref456995298"/>
      <w:bookmarkStart w:id="13" w:name="_Ref456995292"/>
      <w:bookmarkStart w:id="14" w:name="_Toc462236486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884C68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2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3"/>
      <w:r w:rsidR="009E567D">
        <w:rPr>
          <w:i w:val="0"/>
          <w:color w:val="auto"/>
          <w:sz w:val="24"/>
          <w:szCs w:val="24"/>
        </w:rPr>
        <w:t>.</w:t>
      </w:r>
      <w:r w:rsidR="002B4593">
        <w:rPr>
          <w:i w:val="0"/>
          <w:color w:val="auto"/>
          <w:sz w:val="24"/>
          <w:szCs w:val="24"/>
        </w:rPr>
        <w:t xml:space="preserve"> Opracowanie własne na </w:t>
      </w:r>
      <w:r w:rsidR="002B4593" w:rsidRPr="002B4593">
        <w:rPr>
          <w:i w:val="0"/>
          <w:color w:val="auto"/>
          <w:sz w:val="24"/>
          <w:szCs w:val="24"/>
        </w:rPr>
        <w:t xml:space="preserve">podstawie </w:t>
      </w:r>
      <w:sdt>
        <w:sdtPr>
          <w:rPr>
            <w:i w:val="0"/>
            <w:color w:val="auto"/>
            <w:sz w:val="24"/>
            <w:szCs w:val="24"/>
          </w:rPr>
          <w:id w:val="-909618500"/>
          <w:citation/>
        </w:sdtPr>
        <w:sdtEndPr/>
        <w:sdtContent>
          <w:r w:rsidR="002B4593" w:rsidRPr="004B3C16">
            <w:rPr>
              <w:i w:val="0"/>
              <w:color w:val="auto"/>
              <w:sz w:val="24"/>
              <w:szCs w:val="24"/>
            </w:rPr>
            <w:fldChar w:fldCharType="begin"/>
          </w:r>
          <w:r w:rsidR="002B4593" w:rsidRPr="004B3C16">
            <w:rPr>
              <w:i w:val="0"/>
              <w:color w:val="auto"/>
              <w:sz w:val="24"/>
              <w:szCs w:val="24"/>
            </w:rPr>
            <w:instrText xml:space="preserve"> CITATION EPo10 \l 1045 </w:instrTex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separate"/>
          </w:r>
          <w:r w:rsidR="004B3C16" w:rsidRPr="004B3C16">
            <w:rPr>
              <w:i w:val="0"/>
              <w:noProof/>
              <w:color w:val="auto"/>
              <w:sz w:val="24"/>
              <w:szCs w:val="24"/>
            </w:rPr>
            <w:t>[10]</w: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end"/>
          </w:r>
        </w:sdtContent>
      </w:sdt>
      <w:r w:rsidR="00E860E4">
        <w:rPr>
          <w:i w:val="0"/>
          <w:color w:val="auto"/>
          <w:sz w:val="24"/>
          <w:szCs w:val="24"/>
        </w:rPr>
        <w:t>.</w:t>
      </w:r>
      <w:bookmarkEnd w:id="14"/>
    </w:p>
    <w:p w:rsidR="002B4593" w:rsidRDefault="002B4593" w:rsidP="00B614F2">
      <w:pPr>
        <w:spacing w:line="360" w:lineRule="auto"/>
        <w:jc w:val="both"/>
        <w:rPr>
          <w:rFonts w:eastAsiaTheme="minorEastAsia"/>
          <w:szCs w:val="24"/>
        </w:rPr>
      </w:pPr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69492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5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5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884C68" w:rsidRPr="00884C68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FA48FF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490CE0" w:rsidP="00816E46">
            <w:pPr>
              <w:jc w:val="center"/>
              <w:rPr>
                <w:szCs w:val="24"/>
              </w:rPr>
            </w:pPr>
            <mc:AlternateContent>
              <mc:Choice Requires="wps">
                <w:r>
                  <w:rPr>
                    <w:rFonts w:ascii="Cambria Math" w:eastAsiaTheme="minorEastAsia" w:hAnsi="Cambria Math"/>
                    <w:i/>
                    <w:iCs/>
                    <w:noProof/>
                    <w:sz w:val="20"/>
                    <w:szCs w:val="20"/>
                    <w:lang w:eastAsia="pl-PL"/>
                  </w:rPr>
                  <w:lastRenderedPageBreak/>
                  <w:drawing>
                    <wp:anchor distT="45720" distB="45720" distL="114300" distR="114300" simplePos="0" relativeHeight="251663360" behindDoc="0" locked="0" layoutInCell="1" allowOverlap="1" wp14:anchorId="27A48E4F" wp14:editId="6EF42A36">
                      <wp:simplePos x="0" y="0"/>
                      <wp:positionH relativeFrom="column">
                        <wp:posOffset>3757295</wp:posOffset>
                      </wp:positionH>
                      <wp:positionV relativeFrom="paragraph">
                        <wp:posOffset>706755</wp:posOffset>
                      </wp:positionV>
                      <wp:extent cx="469900" cy="1404620"/>
                      <wp:effectExtent l="0" t="0" r="25400" b="15875"/>
                      <wp:wrapNone/>
                      <wp:docPr id="217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07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48FF" w:rsidRPr="00490CE0" w:rsidRDefault="00490CE0">
                                  <w:pPr>
                                    <w:rPr>
                                      <w:sz w:val="1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90CE0">
                                    <w:rPr>
                                      <w:sz w:val="1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shapetype w14:anchorId="27A48E4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left:0;text-align:left;margin-left:295.85pt;margin-top:55.65pt;width:37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" filled="f" strokecolor="white [3212]">
                    <v:textbox style="mso-fit-shape-to-text:t">
                      <w:txbxContent>
                        <w:p w:rsidR="00FA48FF" w:rsidRPr="00490CE0" w:rsidRDefault="00490CE0">
                          <w:pPr>
                            <w:rPr>
                              <w:sz w:val="14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90CE0">
                            <w:rPr>
                              <w:sz w:val="14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p>
        </w:tc>
        <w:tc>
          <w:tcPr>
            <w:tcW w:w="4509" w:type="pct"/>
            <w:vAlign w:val="center"/>
          </w:tcPr>
          <w:p w:rsidR="00D00BE2" w:rsidRPr="005A163B" w:rsidRDefault="00694920" w:rsidP="00D00BE2">
            <w:pPr>
              <w:spacing w:line="360" w:lineRule="auto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6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5B2CCA">
        <w:rPr>
          <w:rFonts w:eastAsiaTheme="minorEastAsia"/>
          <w:iCs/>
          <w:szCs w:val="24"/>
        </w:rPr>
        <w:t>ogicznie dla drugiego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_Ref460698209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13</w:t>
      </w:r>
      <w:r w:rsidR="00884C68" w:rsidRPr="00884C68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i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_Ref460698214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14</w:t>
      </w:r>
      <w:r w:rsidR="00884C68" w:rsidRPr="00884C68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możemy</w:t>
      </w:r>
      <w:r w:rsidR="005B2CCA">
        <w:rPr>
          <w:rFonts w:eastAsiaTheme="minorEastAsia"/>
          <w:iCs/>
          <w:szCs w:val="24"/>
        </w:rPr>
        <w:t xml:space="preserve"> zapisać w postaci macierzowej</w:t>
      </w:r>
    </w:p>
    <w:p w:rsidR="00D00BE2" w:rsidRPr="001660B2" w:rsidRDefault="00694920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A163B" w:rsidRPr="00A86B48">
        <w:rPr>
          <w:rFonts w:eastAsiaTheme="minorEastAsia"/>
          <w:color w:val="auto"/>
          <w:sz w:val="22"/>
          <w:szCs w:val="20"/>
        </w:rPr>
        <w:t>(</w:t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begin"/>
      </w:r>
      <m:oMath>
        <m:r>
          <w:rPr>
            <w:rFonts w:ascii="Cambria Math" w:hAnsi="Cambria Math"/>
            <w:color w:val="auto"/>
            <w:sz w:val="22"/>
            <w:szCs w:val="20"/>
          </w:rPr>
          <m:t xml:space="preserve"> SEQ Równanie \* ARABIC 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2"/>
            <w:szCs w:val="20"/>
          </w:rPr>
          <m:t>15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end"/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  <w:r w:rsidR="00490CE0">
        <w:rPr>
          <w:rFonts w:eastAsiaTheme="minorEastAsia"/>
          <w:szCs w:val="24"/>
        </w:rPr>
        <w:t>.</w:t>
      </w:r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5B2CCA">
        <w:rPr>
          <w:rFonts w:eastAsiaTheme="minorEastAsia"/>
          <w:iCs/>
          <w:szCs w:val="24"/>
        </w:rPr>
        <w:t xml:space="preserve"> postaci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5B2CCA">
        <w:rPr>
          <w:rFonts w:eastAsiaTheme="minorEastAsia"/>
          <w:iCs/>
          <w:szCs w:val="24"/>
        </w:rPr>
        <w:t xml:space="preserve"> z powyższego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694920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19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694920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0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2E30A9" w:rsidRPr="002E30A9" w:rsidRDefault="003D4A3E" w:rsidP="003264D7">
      <w:pPr>
        <w:spacing w:line="360" w:lineRule="auto"/>
      </w:pPr>
      <w:r w:rsidRPr="00321A19">
        <w:t xml:space="preserve">Równanie </w:t>
      </w:r>
      <w:r w:rsidRPr="00321A19">
        <w:fldChar w:fldCharType="begin"/>
      </w:r>
      <w:r w:rsidRPr="00321A19">
        <w:instrText xml:space="preserve"> REF _Ref462162772 \h </w:instrText>
      </w:r>
      <w:r w:rsidR="00321A19" w:rsidRPr="00321A19">
        <w:instrText xml:space="preserve"> \* MERGEFORMAT </w:instrText>
      </w:r>
      <w:r w:rsidRPr="00321A19">
        <w:fldChar w:fldCharType="separate"/>
      </w:r>
      <w:r w:rsidR="00884C68" w:rsidRPr="00884C68">
        <w:t>(</w:t>
      </w:r>
      <w:r w:rsidR="00884C68" w:rsidRPr="00884C68">
        <w:rPr>
          <w:noProof/>
        </w:rPr>
        <w:t>16</w:t>
      </w:r>
      <w:r w:rsidR="00884C68" w:rsidRPr="00884C68">
        <w:t>)</w:t>
      </w:r>
      <w:r w:rsidRPr="00321A19">
        <w:fldChar w:fldCharType="end"/>
      </w:r>
      <w:r w:rsidRPr="00321A19">
        <w:t xml:space="preserve"> sprzężone</w:t>
      </w:r>
      <w:r w:rsidRPr="003D4A3E">
        <w:t xml:space="preserve">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t xml:space="preserve">Sumowanie w </w:t>
      </w:r>
      <w:r w:rsidRPr="00F43126">
        <w:t xml:space="preserve">równaniu </w:t>
      </w:r>
      <w:r w:rsidRPr="00F43126">
        <w:fldChar w:fldCharType="begin"/>
      </w:r>
      <w:r w:rsidRPr="00F43126">
        <w:instrText xml:space="preserve"> REF _Ref460699727 \h </w:instrText>
      </w:r>
      <w:r w:rsidR="00F43126" w:rsidRPr="00F43126">
        <w:instrText xml:space="preserve"> \* MERGEFORMAT </w:instrText>
      </w:r>
      <w:r w:rsidRPr="00F43126">
        <w:fldChar w:fldCharType="separate"/>
      </w:r>
      <w:r w:rsidR="00884C68" w:rsidRPr="00884C68">
        <w:t>(</w:t>
      </w:r>
      <w:r w:rsidR="00884C68" w:rsidRPr="00884C68">
        <w:rPr>
          <w:noProof/>
        </w:rPr>
        <w:t>21</w:t>
      </w:r>
      <w:r w:rsidR="00884C68" w:rsidRPr="00884C68">
        <w:t>)</w:t>
      </w:r>
      <w:r w:rsidRPr="00F43126">
        <w:fldChar w:fldCharType="end"/>
      </w:r>
      <w:r w:rsidRPr="00F43126">
        <w:t xml:space="preserve"> odbywa</w:t>
      </w:r>
      <w:r>
        <w:t xml:space="preserve">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lastRenderedPageBreak/>
        <w:t xml:space="preserve">Wstawiając w </w:t>
      </w:r>
      <w:r w:rsidRPr="00F43126">
        <w:rPr>
          <w:rFonts w:eastAsiaTheme="minorEastAsia"/>
          <w:iCs/>
          <w:szCs w:val="24"/>
        </w:rPr>
        <w:t xml:space="preserve">równaniu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_Ref460699727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21</w:t>
      </w:r>
      <w:r w:rsidR="00884C68" w:rsidRPr="00884C68">
        <w:t>)</w:t>
      </w:r>
      <w:r w:rsidRPr="00F43126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_Ref460704339 \h </w:instrText>
      </w:r>
      <w:r w:rsidR="00642253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7</w:t>
      </w:r>
      <w:r w:rsidR="00884C68" w:rsidRPr="00884C68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oraz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_Ref460704474 \h </w:instrText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20</w:t>
      </w:r>
      <w:r w:rsidR="00884C68" w:rsidRPr="00884C68">
        <w:t>)</w:t>
      </w:r>
      <w:r w:rsidRPr="00F43126"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694920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 xml:space="preserve">nego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694920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3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4" w:name="_Toc462235817"/>
      <w:r>
        <w:lastRenderedPageBreak/>
        <w:t>W</w:t>
      </w:r>
      <w:r w:rsidR="003F1C28">
        <w:t>yniki</w:t>
      </w:r>
      <w:bookmarkEnd w:id="24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samozgodnego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28</w:t>
      </w:r>
      <w:r w:rsidR="00884C68" w:rsidRPr="00884C68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5" w:name="_Ref461287588"/>
      <w:bookmarkStart w:id="26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884C68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5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</w:t>
      </w:r>
      <w:bookmarkEnd w:id="26"/>
      <w:r w:rsidR="00490CE0">
        <w:rPr>
          <w:i w:val="0"/>
          <w:color w:val="auto"/>
          <w:sz w:val="24"/>
          <w:szCs w:val="24"/>
        </w:rPr>
        <w:t>modelu dla różnych metali</w:t>
      </w:r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Debye’a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694920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7" w:name="_Toc462235818"/>
      <w:r w:rsidRPr="00534BE7">
        <w:t>Potencjał</w:t>
      </w:r>
      <w:r w:rsidRPr="00A2085E">
        <w:t xml:space="preserve"> chemiczny</w:t>
      </w:r>
      <w:bookmarkEnd w:id="27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28</w:t>
      </w:r>
      <w:r w:rsidR="00884C68" w:rsidRPr="00884C68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694920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694920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nanowarstw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>. Widać, że wraz ze wzrostem grubości nanowarstwy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F64E7C" w:rsidP="002F340D">
      <w:pPr>
        <w:keepNext/>
        <w:spacing w:line="360" w:lineRule="auto"/>
        <w:jc w:val="center"/>
      </w:pPr>
      <w:r w:rsidRPr="00F64E7C">
        <w:rPr>
          <w:noProof/>
          <w:lang w:eastAsia="pl-PL"/>
        </w:rPr>
        <w:drawing>
          <wp:inline distT="0" distB="0" distL="0" distR="0" wp14:anchorId="464DB5C1" wp14:editId="2E429291">
            <wp:extent cx="4572000" cy="3200400"/>
            <wp:effectExtent l="0" t="0" r="0" b="0"/>
            <wp:docPr id="22" name="Obraz 22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8" w:name="_Ref461361376"/>
      <w:bookmarkStart w:id="29" w:name="_Toc462236487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884C68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8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29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0" w:name="_Toc462235819"/>
      <w:r>
        <w:rPr>
          <w:rFonts w:eastAsiaTheme="minorEastAsia"/>
        </w:rPr>
        <w:t xml:space="preserve">Przerwa </w:t>
      </w:r>
      <w:r w:rsidRPr="00534BE7">
        <w:t>nadprzewodząca</w:t>
      </w:r>
      <w:bookmarkEnd w:id="30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28</w:t>
      </w:r>
      <w:r w:rsidR="00884C68" w:rsidRPr="00884C68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samozgodne,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A46196">
        <w:rPr>
          <w:rFonts w:eastAsiaTheme="minorEastAsia"/>
          <w:iCs/>
          <w:szCs w:val="24"/>
        </w:rPr>
        <w:t xml:space="preserve"> </w:t>
      </w:r>
      <w:r w:rsidR="00A46196">
        <w:rPr>
          <w:rFonts w:eastAsiaTheme="minorEastAsia"/>
          <w:iCs/>
          <w:szCs w:val="24"/>
        </w:rPr>
        <w:br/>
      </w:r>
      <w:r w:rsidR="00A46196">
        <w:rPr>
          <w:rFonts w:eastAsiaTheme="minorEastAsia"/>
          <w:iCs/>
          <w:szCs w:val="24"/>
        </w:rPr>
        <w:lastRenderedPageBreak/>
        <w:t>w poszczególnych podpasmach</w:t>
      </w:r>
      <w:r w:rsidR="007A5EA9">
        <w:rPr>
          <w:rFonts w:eastAsiaTheme="minorEastAsia"/>
          <w:iCs/>
          <w:szCs w:val="24"/>
        </w:rPr>
        <w:t xml:space="preserve"> - 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19</w:t>
      </w:r>
      <w:r w:rsidR="00884C68" w:rsidRPr="00884C68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28</w:t>
      </w:r>
      <w:r w:rsidR="00884C68" w:rsidRPr="00884C68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glinu</w:t>
      </w:r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nanowarstwy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</w:t>
      </w:r>
      <w:r w:rsidR="00A46196">
        <w:rPr>
          <w:rFonts w:eastAsiaTheme="minorEastAsia"/>
          <w:iCs/>
          <w:szCs w:val="24"/>
        </w:rPr>
        <w:br/>
      </w:r>
      <w:r w:rsidR="00D673D2">
        <w:rPr>
          <w:rFonts w:eastAsiaTheme="minorEastAsia"/>
          <w:iCs/>
          <w:szCs w:val="24"/>
        </w:rPr>
        <w:t xml:space="preserve">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F64E7C" w:rsidP="00136FCF">
      <w:pPr>
        <w:keepNext/>
        <w:jc w:val="center"/>
      </w:pPr>
      <w:r w:rsidRPr="00F64E7C">
        <w:rPr>
          <w:noProof/>
          <w:lang w:eastAsia="pl-PL"/>
        </w:rPr>
        <w:drawing>
          <wp:inline distT="0" distB="0" distL="0" distR="0" wp14:anchorId="4AFD9C44" wp14:editId="7E60C380">
            <wp:extent cx="4572000" cy="3200400"/>
            <wp:effectExtent l="0" t="0" r="0" b="0"/>
            <wp:docPr id="25" name="Obraz 25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1" w:name="_Ref461349751"/>
      <w:bookmarkStart w:id="32" w:name="_Ref461349746"/>
      <w:bookmarkStart w:id="33" w:name="_Toc462236488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884C68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1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nanowarstwy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2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wykresu wzięte do dalszej analizy.</w:t>
      </w:r>
      <w:bookmarkEnd w:id="33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nanowarstwy</w:t>
      </w:r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</w:t>
      </w:r>
      <w:r w:rsidR="00A44CB0">
        <w:rPr>
          <w:rFonts w:eastAsiaTheme="minorEastAsia"/>
        </w:rPr>
        <w:t>m</w:t>
      </w:r>
      <w:r w:rsidR="00A262B1">
        <w:rPr>
          <w:rFonts w:eastAsiaTheme="minorEastAsia"/>
        </w:rPr>
        <w:t>eV</w:t>
      </w:r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Debye’a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>z podpasm przechodzi przez poziom energii Fermiego, następuje gwałtowny wzrost gęstości stanów na poziomie energii Fermiego (osobliwość van 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>A zatem</w:t>
      </w:r>
      <w:r w:rsidR="00A46196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nanowarstw</w:t>
      </w:r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5A163B">
        <w:rPr>
          <w:rFonts w:eastAsiaTheme="minorEastAsia"/>
        </w:rPr>
        <w:br/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 xml:space="preserve">, że </w:t>
      </w:r>
      <w:r w:rsidR="005A163B">
        <w:rPr>
          <w:rFonts w:eastAsiaTheme="minorEastAsia"/>
        </w:rPr>
        <w:br/>
      </w:r>
      <w:r w:rsidR="00267381" w:rsidRPr="00267381">
        <w:rPr>
          <w:rFonts w:eastAsiaTheme="minorEastAsia"/>
        </w:rPr>
        <w:t>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Debye’a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5A163B" w:rsidRDefault="005A163B" w:rsidP="00136FCF">
      <w:pPr>
        <w:keepNext/>
        <w:jc w:val="center"/>
      </w:pPr>
    </w:p>
    <w:p w:rsidR="00685998" w:rsidRDefault="008D0DC0" w:rsidP="00136FCF">
      <w:pPr>
        <w:keepNext/>
        <w:jc w:val="center"/>
      </w:pPr>
      <w:r w:rsidRPr="008D0DC0">
        <w:rPr>
          <w:noProof/>
          <w:lang w:eastAsia="pl-PL"/>
        </w:rPr>
        <w:drawing>
          <wp:inline distT="0" distB="0" distL="0" distR="0" wp14:anchorId="61390DCB" wp14:editId="64D30E2B">
            <wp:extent cx="4572000" cy="3200400"/>
            <wp:effectExtent l="0" t="0" r="0" b="0"/>
            <wp:docPr id="30" name="Obraz 30" descr="C:\Users\Rafal\Desktop\omegafinal\al2\dysper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l\Desktop\omegafinal\al2\dyspers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4" w:name="_Ref461361985"/>
      <w:bookmarkStart w:id="35" w:name="_Toc462236489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884C68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4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5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884C68" w:rsidRPr="00884C68">
        <w:t>(</w:t>
      </w:r>
      <w:r w:rsidR="00884C68" w:rsidRPr="00884C68">
        <w:rPr>
          <w:noProof/>
        </w:rPr>
        <w:t>26</w:t>
      </w:r>
      <w:r w:rsidR="00884C68" w:rsidRPr="00884C68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 okres oscylacji się zwiększa, a ich amplituda się zmniejsza.</w:t>
      </w:r>
    </w:p>
    <w:p w:rsidR="00033DB7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 wp14:anchorId="0FD37744" wp14:editId="3E9337E8">
            <wp:extent cx="4384800" cy="3070800"/>
            <wp:effectExtent l="0" t="0" r="0" b="0"/>
            <wp:docPr id="33" name="Obraz 33" descr="C:\Users\Rafal\Desktop\omegafinal\al2\delta_o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fal\Desktop\omegafinal\al2\delta_od_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6" w:name="_Ref461362304"/>
      <w:bookmarkStart w:id="37" w:name="_Toc462236490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884C68">
        <w:rPr>
          <w:b/>
          <w:noProof/>
        </w:rPr>
        <w:t>6</w:t>
      </w:r>
      <w:r w:rsidRPr="00033DB7">
        <w:rPr>
          <w:b/>
        </w:rPr>
        <w:fldChar w:fldCharType="end"/>
      </w:r>
      <w:bookmarkEnd w:id="36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nanowarstw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7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8" w:name="_Toc462235820"/>
      <w:r>
        <w:t>Temperatura krytyczna</w:t>
      </w:r>
      <w:bookmarkStart w:id="39" w:name="_GoBack"/>
      <w:bookmarkEnd w:id="38"/>
      <w:bookmarkEnd w:id="39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30D48EB5" wp14:editId="65737DE8">
            <wp:extent cx="4384800" cy="3070800"/>
            <wp:effectExtent l="0" t="0" r="0" b="0"/>
            <wp:docPr id="34" name="Obraz 34" descr="C:\Users\Rafal\Desktop\omegafinal\al2\delta_od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fal\Desktop\omegafinal\al2\delta_od_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40" w:name="_Ref461362536"/>
      <w:bookmarkStart w:id="41" w:name="_Toc462236491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884C68">
        <w:rPr>
          <w:b/>
          <w:noProof/>
        </w:rPr>
        <w:t>7</w:t>
      </w:r>
      <w:r w:rsidRPr="001123B4">
        <w:rPr>
          <w:b/>
        </w:rPr>
        <w:fldChar w:fldCharType="end"/>
      </w:r>
      <w:bookmarkEnd w:id="40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>dla nanowar</w:t>
      </w:r>
      <w:r w:rsidR="008C6BF3">
        <w:t xml:space="preserve">stw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1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1AB22A6A" wp14:editId="4011E505">
            <wp:extent cx="4572000" cy="3200400"/>
            <wp:effectExtent l="0" t="0" r="0" b="0"/>
            <wp:docPr id="35" name="Obraz 35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2" w:name="_Ref461362664"/>
      <w:bookmarkStart w:id="43" w:name="_Toc462236492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884C68">
        <w:rPr>
          <w:b/>
          <w:noProof/>
        </w:rPr>
        <w:t>8</w:t>
      </w:r>
      <w:r w:rsidRPr="008E5476">
        <w:rPr>
          <w:b/>
        </w:rPr>
        <w:fldChar w:fldCharType="end"/>
      </w:r>
      <w:bookmarkEnd w:id="42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3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nanowarstwy glinu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4" w:name="_Toc462235821"/>
      <w:r>
        <w:lastRenderedPageBreak/>
        <w:t>Wyniki dla innych materiałów</w:t>
      </w:r>
      <w:bookmarkEnd w:id="44"/>
    </w:p>
    <w:p w:rsidR="00A64FFF" w:rsidRDefault="00A64FFF" w:rsidP="00DB7B6B">
      <w:pPr>
        <w:spacing w:line="360" w:lineRule="auto"/>
        <w:ind w:firstLine="709"/>
        <w:jc w:val="both"/>
        <w:rPr>
          <w:rFonts w:eastAsiaTheme="minorEastAsia"/>
        </w:rPr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nanowarstw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w:r w:rsidR="00490CE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nanowarstwy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5A163B" w:rsidRPr="00A64FFF" w:rsidRDefault="005A163B" w:rsidP="00DB7B6B">
      <w:pPr>
        <w:spacing w:line="360" w:lineRule="auto"/>
        <w:ind w:firstLine="709"/>
        <w:jc w:val="both"/>
      </w:pPr>
    </w:p>
    <w:p w:rsidR="00F51F62" w:rsidRDefault="00DF1F46" w:rsidP="00136FCF">
      <w:pPr>
        <w:keepNext/>
        <w:jc w:val="center"/>
      </w:pPr>
      <w:r w:rsidRPr="00DF1F46">
        <w:rPr>
          <w:noProof/>
          <w:lang w:eastAsia="pl-PL"/>
        </w:rPr>
        <w:drawing>
          <wp:inline distT="0" distB="0" distL="0" distR="0" wp14:anchorId="098BD9B8" wp14:editId="552C26B5">
            <wp:extent cx="4572000" cy="3200400"/>
            <wp:effectExtent l="0" t="0" r="0" b="0"/>
            <wp:docPr id="36" name="Obraz 36" descr="C:\Users\Rafal\Desktop\omegafinal\i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fal\Desktop\omegafinal\in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5" w:name="_Ref461446633"/>
      <w:bookmarkStart w:id="46" w:name="_Ref461446630"/>
      <w:bookmarkStart w:id="47" w:name="_Ref461459871"/>
      <w:bookmarkStart w:id="48" w:name="_Toc462236493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884C68">
        <w:rPr>
          <w:b/>
          <w:noProof/>
        </w:rPr>
        <w:t>9</w:t>
      </w:r>
      <w:r w:rsidRPr="00F51F62">
        <w:rPr>
          <w:b/>
        </w:rPr>
        <w:fldChar w:fldCharType="end"/>
      </w:r>
      <w:bookmarkEnd w:id="45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nanowarstwy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6"/>
      <w:bookmarkEnd w:id="47"/>
      <w:r w:rsidR="00596323">
        <w:t>Pb</w:t>
      </w:r>
      <w:r w:rsidR="00CD1D61">
        <w:t>.</w:t>
      </w:r>
      <w:bookmarkEnd w:id="48"/>
    </w:p>
    <w:p w:rsidR="00FD72BE" w:rsidRDefault="00FD72BE" w:rsidP="00596323">
      <w:pPr>
        <w:jc w:val="both"/>
      </w:pPr>
    </w:p>
    <w:p w:rsidR="005A163B" w:rsidRDefault="005A163B" w:rsidP="00596323">
      <w:pPr>
        <w:jc w:val="both"/>
      </w:pPr>
    </w:p>
    <w:p w:rsidR="00554E0C" w:rsidRDefault="00596323" w:rsidP="00596323">
      <w:pPr>
        <w:pStyle w:val="Nagwek2"/>
      </w:pPr>
      <w:bookmarkStart w:id="49" w:name="_Toc462235822"/>
      <w:r w:rsidRPr="00596323">
        <w:lastRenderedPageBreak/>
        <w:t>Własności nadprzewodzące w funkcji parametrów modelu</w:t>
      </w:r>
      <w:bookmarkEnd w:id="49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Debye’a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19D5D6CE" wp14:editId="3B9E69A3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50" w:name="_Ref461455634"/>
      <w:bookmarkStart w:id="51" w:name="_Toc462236494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884C68">
        <w:rPr>
          <w:b/>
          <w:noProof/>
        </w:rPr>
        <w:t>10</w:t>
      </w:r>
      <w:r w:rsidRPr="00595E04">
        <w:rPr>
          <w:b/>
        </w:rPr>
        <w:fldChar w:fldCharType="end"/>
      </w:r>
      <w:bookmarkEnd w:id="50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1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884C68" w:rsidRPr="00884C68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0B256F" w:rsidP="00136FCF">
      <w:pPr>
        <w:keepNext/>
        <w:jc w:val="center"/>
      </w:pPr>
      <w:r w:rsidRPr="000B256F">
        <w:rPr>
          <w:noProof/>
          <w:lang w:eastAsia="pl-PL"/>
        </w:rPr>
        <w:lastRenderedPageBreak/>
        <w:drawing>
          <wp:inline distT="0" distB="0" distL="0" distR="0" wp14:anchorId="47477306" wp14:editId="1B147ABC">
            <wp:extent cx="4572000" cy="3200400"/>
            <wp:effectExtent l="0" t="0" r="0" b="0"/>
            <wp:docPr id="41" name="Obraz 4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2" w:name="_Ref461462518"/>
      <w:bookmarkStart w:id="53" w:name="_Toc462236495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884C68">
        <w:rPr>
          <w:b/>
          <w:noProof/>
        </w:rPr>
        <w:t>11</w:t>
      </w:r>
      <w:r w:rsidRPr="00F51F62">
        <w:rPr>
          <w:b/>
        </w:rPr>
        <w:fldChar w:fldCharType="end"/>
      </w:r>
      <w:bookmarkEnd w:id="52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3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4" w:name="_Toc462235823"/>
      <w:r>
        <w:t>Porównanie jakościowe z eksperymentem</w:t>
      </w:r>
      <w:r w:rsidR="00CD1D61">
        <w:t xml:space="preserve"> dla warstw Pb</w:t>
      </w:r>
      <w:bookmarkEnd w:id="54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nanowarstw</w:t>
      </w:r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nanowarstw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nanowarstw o dowolnej grubości, ze względu określoną grubość jednej monowarstwy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monowarstwy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r w:rsidR="00CD1D61">
        <w:rPr>
          <w:rFonts w:eastAsiaTheme="minorEastAsia"/>
        </w:rPr>
        <w:t>monowarstw.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lastRenderedPageBreak/>
        <w:drawing>
          <wp:inline distT="0" distB="0" distL="0" distR="0" wp14:anchorId="7BB531B2" wp14:editId="71406ABA">
            <wp:extent cx="4572000" cy="3200400"/>
            <wp:effectExtent l="0" t="0" r="0" b="0"/>
            <wp:docPr id="46" name="Obraz 46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5" w:name="_Ref461464299"/>
      <w:bookmarkStart w:id="56" w:name="_Toc462236496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884C68">
        <w:rPr>
          <w:b/>
          <w:noProof/>
        </w:rPr>
        <w:t>12</w:t>
      </w:r>
      <w:r w:rsidRPr="00595E04">
        <w:rPr>
          <w:b/>
        </w:rPr>
        <w:fldChar w:fldCharType="end"/>
      </w:r>
      <w:bookmarkEnd w:id="55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>w funkcji liczby monowarstw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>Kolorem niebieskim zaznaczono punkty odpowiadające parzystej liczbie monowarstw, a kolorem czerwonym – nieparzystej.</w:t>
      </w:r>
      <w:bookmarkEnd w:id="56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nanowarstwy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r w:rsidR="00CD1D61">
        <w:rPr>
          <w:rFonts w:eastAsiaTheme="minorEastAsia"/>
        </w:rPr>
        <w:t>monowarstw</w:t>
      </w:r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>niż nanowarstwy o nieparzystej liczbie monowarstw</w:t>
      </w:r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r w:rsidR="00102772">
        <w:rPr>
          <w:rFonts w:eastAsiaTheme="minorEastAsia"/>
        </w:rPr>
        <w:t>monowarstw</w:t>
      </w:r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>stej liczbie monowarstw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r w:rsidR="00102772">
        <w:rPr>
          <w:rFonts w:eastAsiaTheme="minorEastAsia"/>
        </w:rPr>
        <w:t>monowarstw</w:t>
      </w:r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r w:rsidR="00102772">
        <w:rPr>
          <w:rFonts w:eastAsiaTheme="minorEastAsia"/>
        </w:rPr>
        <w:t>monowarstw</w:t>
      </w:r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490CE0">
        <w:rPr>
          <w:rFonts w:eastAsiaTheme="minorEastAsia"/>
        </w:rPr>
        <w:t>,</w:t>
      </w:r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>kwantowe dla warstw o parzystej liczbie monowarstw</w:t>
      </w:r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drawing>
          <wp:inline distT="0" distB="0" distL="0" distR="0" wp14:anchorId="4F4B6585" wp14:editId="1A827436">
            <wp:extent cx="4572000" cy="3200400"/>
            <wp:effectExtent l="0" t="0" r="0" b="0"/>
            <wp:docPr id="45" name="Obraz 45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7" w:name="_Ref461467739"/>
      <w:bookmarkStart w:id="58" w:name="_Toc462236497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884C68">
        <w:rPr>
          <w:b/>
          <w:noProof/>
        </w:rPr>
        <w:t>13</w:t>
      </w:r>
      <w:r w:rsidRPr="00595E04">
        <w:rPr>
          <w:b/>
        </w:rPr>
        <w:fldChar w:fldCharType="end"/>
      </w:r>
      <w:bookmarkEnd w:id="57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>Kolorem niebieskim zaznaczono punkty odpowiadające parzystej liczbie monowarstw, a kolorem czerwonym – nieparzystej.</w:t>
      </w:r>
      <w:bookmarkEnd w:id="58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9" w:name="_Toc462235824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9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>wytwarzane nanowarstwy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EndPr/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[11]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694920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60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884C68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60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>zmiana grubości nanowarstwy</w:t>
      </w:r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nanowarstw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EndPr/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[12]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r w:rsidR="00010AFF">
        <w:rPr>
          <w:rFonts w:eastAsiaTheme="minorEastAsia"/>
        </w:rPr>
        <w:t>yniki</w:t>
      </w:r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19B10DBE" wp14:editId="3868E87F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1" w:name="_Ref461470431"/>
      <w:bookmarkStart w:id="62" w:name="_Toc46223649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884C68">
        <w:rPr>
          <w:b/>
          <w:noProof/>
        </w:rPr>
        <w:t>14</w:t>
      </w:r>
      <w:r w:rsidRPr="00595E04">
        <w:rPr>
          <w:b/>
        </w:rPr>
        <w:fldChar w:fldCharType="end"/>
      </w:r>
      <w:bookmarkEnd w:id="61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2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884C68" w:rsidRPr="00884C68">
        <w:t>(</w:t>
      </w:r>
      <w:r w:rsidR="00884C68" w:rsidRPr="00884C68">
        <w:rPr>
          <w:noProof/>
        </w:rPr>
        <w:t>31</w:t>
      </w:r>
      <w:r w:rsidR="00884C68" w:rsidRPr="00884C68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monowarstwy.</w:t>
      </w:r>
    </w:p>
    <w:p w:rsidR="002345FC" w:rsidRDefault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  <w:r w:rsidR="002345FC">
        <w:rPr>
          <w:szCs w:val="24"/>
        </w:rPr>
        <w:lastRenderedPageBreak/>
        <w:br w:type="page"/>
      </w:r>
    </w:p>
    <w:p w:rsidR="00561699" w:rsidRDefault="00235DF6" w:rsidP="00534BE7">
      <w:pPr>
        <w:pStyle w:val="Nagwek1"/>
      </w:pPr>
      <w:bookmarkStart w:id="63" w:name="_Toc462235825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Bogoliubova-de Gennes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>asności nadprzewodzących nanowarstw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>Oscylacje te wynikają z małej grubości takich nanowarstw,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nanowarstwy i dla pewnych grubości </w:t>
      </w:r>
      <w:r w:rsidR="00013991" w:rsidRPr="00013991">
        <w:rPr>
          <w:rFonts w:eastAsiaTheme="minorEastAsia"/>
          <w:szCs w:val="24"/>
        </w:rPr>
        <w:t xml:space="preserve">dno jednego </w:t>
      </w:r>
      <w:r w:rsidR="002B4593">
        <w:rPr>
          <w:rFonts w:eastAsiaTheme="minorEastAsia"/>
          <w:szCs w:val="24"/>
        </w:rPr>
        <w:br/>
      </w:r>
      <w:r w:rsidR="00013991" w:rsidRPr="00013991">
        <w:rPr>
          <w:rFonts w:eastAsiaTheme="minorEastAsia"/>
          <w:szCs w:val="24"/>
        </w:rPr>
        <w:t xml:space="preserve">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>gwałtowny wzrost gęstości stanów na poziomie energii Fermiego (osobliwość van 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 xml:space="preserve">a)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r>
        <w:rPr>
          <w:rFonts w:eastAsiaTheme="minorEastAsia"/>
          <w:szCs w:val="24"/>
        </w:rPr>
        <w:t xml:space="preserve">Bogoliubova-de Gennes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>wyprowadzenie równań samozgodnych</w:t>
      </w:r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nanowarstw metalicznych. </w:t>
      </w:r>
      <w:r w:rsidR="00D96599">
        <w:rPr>
          <w:rFonts w:eastAsiaTheme="minorEastAsia"/>
          <w:szCs w:val="24"/>
        </w:rPr>
        <w:t xml:space="preserve">Mając wartość tego potencjału można było przejść do zasadniczych obliczeń. Numerycznie rozwiązując równanie samozgodne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884C68" w:rsidRPr="00B159B8">
        <w:rPr>
          <w:i/>
        </w:rPr>
        <w:t>(</w:t>
      </w:r>
      <w:r w:rsidR="00884C68">
        <w:rPr>
          <w:i/>
          <w:noProof/>
        </w:rPr>
        <w:t>28</w:t>
      </w:r>
      <w:r w:rsidR="00884C68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Bogoliubova-de Gennes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nanowarstwy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</w:t>
      </w:r>
      <w:r w:rsidR="00490CE0">
        <w:rPr>
          <w:rFonts w:eastAsiaTheme="minorEastAsia"/>
        </w:rPr>
        <w:t xml:space="preserve"> energie kinetyczne elektronów </w:t>
      </w:r>
      <w:r w:rsidR="001C2AA6">
        <w:rPr>
          <w:rFonts w:eastAsiaTheme="minorEastAsia"/>
        </w:rPr>
        <w:t xml:space="preserve">, które dla pewnych grubości nanowarstw wpadały w okno energii Debye’a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kadmu.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Debye’a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884C6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2B4593">
        <w:rPr>
          <w:rFonts w:eastAsiaTheme="minorEastAsia"/>
        </w:rPr>
        <w:br/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>polegało na otrzymaniu</w:t>
      </w:r>
      <w:r w:rsidR="00490C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oscylacji </w:t>
      </w:r>
      <w:r w:rsidR="00BC3A8F">
        <w:rPr>
          <w:rFonts w:eastAsiaTheme="minorEastAsia"/>
        </w:rPr>
        <w:t>temperatury krytycznej o</w:t>
      </w:r>
      <w:r>
        <w:rPr>
          <w:rFonts w:eastAsiaTheme="minorEastAsia"/>
        </w:rPr>
        <w:t xml:space="preserve"> okres</w:t>
      </w:r>
      <w:r w:rsidR="00BC3A8F">
        <w:rPr>
          <w:rFonts w:eastAsiaTheme="minorEastAsia"/>
        </w:rPr>
        <w:t>ie</w:t>
      </w:r>
      <w:r>
        <w:rPr>
          <w:rFonts w:eastAsiaTheme="minorEastAsia"/>
        </w:rPr>
        <w:t xml:space="preserve"> 2 monowarstw </w:t>
      </w:r>
      <w:r w:rsidR="00BC3A8F">
        <w:rPr>
          <w:rFonts w:eastAsiaTheme="minorEastAsia"/>
        </w:rPr>
        <w:t>Pb</w:t>
      </w:r>
      <w:r>
        <w:rPr>
          <w:rFonts w:eastAsiaTheme="minorEastAsia"/>
        </w:rPr>
        <w:t xml:space="preserve"> opisan</w:t>
      </w:r>
      <w:r w:rsidR="00BC3A8F">
        <w:rPr>
          <w:rFonts w:eastAsiaTheme="minorEastAsia"/>
        </w:rPr>
        <w:t>ego</w:t>
      </w:r>
      <w:r>
        <w:rPr>
          <w:rFonts w:eastAsiaTheme="minorEastAsia"/>
        </w:rPr>
        <w:t xml:space="preserve">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 w:rsidR="00490CE0">
        <w:rPr>
          <w:rFonts w:eastAsiaTheme="minorEastAsia"/>
        </w:rPr>
        <w:t>, z efek</w:t>
      </w:r>
      <w:r w:rsidR="00321A19">
        <w:rPr>
          <w:rFonts w:eastAsiaTheme="minorEastAsia"/>
        </w:rPr>
        <w:t>tem tzw. dudnienia o okresie 7 -</w:t>
      </w:r>
      <w:r w:rsidR="00490CE0">
        <w:rPr>
          <w:rFonts w:eastAsiaTheme="minorEastAsia"/>
        </w:rPr>
        <w:t xml:space="preserve"> 9 ML. </w:t>
      </w:r>
      <w:r w:rsidR="00B37F5C">
        <w:rPr>
          <w:rFonts w:eastAsiaTheme="minorEastAsia"/>
        </w:rPr>
        <w:t>W porównaniu ilościowym dodano efekt niejednorodności powierzchni uwzględniający trudności w wykonywaniu idealnych nanowarstw,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EndPr/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4B3C16" w:rsidRPr="004B3C16">
            <w:rPr>
              <w:rFonts w:eastAsiaTheme="minorEastAsia"/>
              <w:noProof/>
            </w:rPr>
            <w:t>[12]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490CE0">
        <w:rPr>
          <w:rFonts w:eastAsiaTheme="minorEastAsia"/>
        </w:rPr>
        <w:t>,</w:t>
      </w:r>
      <w:r w:rsidR="00B37F5C">
        <w:rPr>
          <w:rFonts w:eastAsiaTheme="minorEastAsia"/>
        </w:rPr>
        <w:t xml:space="preserve"> co też potwierdziło użyteczność równania Bogoliubova-de Gennes</w:t>
      </w:r>
      <w:r w:rsidR="000C5963" w:rsidRPr="000C5963">
        <w:rPr>
          <w:rFonts w:eastAsiaTheme="minorEastAsia"/>
        </w:rPr>
        <w:t xml:space="preserve"> do opisu nadprzewodnictwa w układach niskowymiarowych.</w:t>
      </w:r>
    </w:p>
    <w:p w:rsidR="00AC368E" w:rsidRPr="00044961" w:rsidRDefault="00860EB8" w:rsidP="00044961">
      <w:pPr>
        <w:spacing w:after="160" w:line="259" w:lineRule="auto"/>
      </w:pPr>
      <w:r>
        <w:br w:type="page"/>
      </w:r>
    </w:p>
    <w:p w:rsidR="00AC368E" w:rsidRPr="00F11389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r w:rsidRPr="00F11389">
        <w:rPr>
          <w:b/>
          <w:sz w:val="32"/>
          <w:szCs w:val="32"/>
          <w:lang w:val="en-US"/>
        </w:rPr>
        <w:lastRenderedPageBreak/>
        <w:t>Bibliografia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F11389">
        <w:rPr>
          <w:lang w:val="en-US"/>
        </w:rPr>
        <w:t xml:space="preserve">[1] </w:t>
      </w:r>
      <w:r w:rsidR="009262A4" w:rsidRPr="00F11389">
        <w:rPr>
          <w:lang w:val="en-US"/>
        </w:rPr>
        <w:t xml:space="preserve">  </w:t>
      </w:r>
      <w:r w:rsidRPr="00F11389">
        <w:rPr>
          <w:lang w:val="en-US"/>
        </w:rPr>
        <w:t xml:space="preserve">J. M. Blatt, C. J. Thomson, </w:t>
      </w:r>
      <w:r w:rsidRPr="00F11389">
        <w:rPr>
          <w:i/>
          <w:lang w:val="en-US"/>
        </w:rPr>
        <w:t>Shape Resonances in Superconducting Thin Films</w:t>
      </w:r>
      <w:r w:rsidRPr="00F11389">
        <w:rPr>
          <w:lang w:val="en-US"/>
        </w:rPr>
        <w:t>, Phys. Rev. Lett. 10, 332 (2</w:t>
      </w:r>
      <w:r w:rsidRPr="00AC368E">
        <w:rPr>
          <w:lang w:val="en-US"/>
        </w:rPr>
        <w:t>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Guo i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Eom, S. Qin, M. Y. Chou, C. K. Shih, </w:t>
      </w:r>
      <w:r w:rsidRPr="009262A4">
        <w:rPr>
          <w:i/>
          <w:lang w:val="en-US"/>
        </w:rPr>
        <w:t>Persistent Superconductivity in Ultrathin Pb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Özer, J. R. Thompson, H. H. Weitering,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Özer, Y. Jia, Z. Zhang, J. R. Thompson, H. H. Weitering,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E. Navarro-Moratalla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>BCS theory</w:t>
      </w:r>
      <w:r>
        <w:t>, https://en.wikipedia.org/wiki/BCS_theory, [dostęp: 1</w:t>
      </w:r>
      <w:r w:rsidR="004B3C16">
        <w:t>4</w:t>
      </w:r>
      <w:r>
        <w:t>.09.2016]</w:t>
      </w:r>
    </w:p>
    <w:p w:rsid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Flokstra,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4B3C16" w:rsidRPr="004D4720" w:rsidRDefault="004B3C16" w:rsidP="00D22DE6">
      <w:pPr>
        <w:spacing w:after="80" w:line="360" w:lineRule="auto"/>
        <w:ind w:left="426" w:hanging="426"/>
      </w:pPr>
      <w:r w:rsidRPr="004D4720">
        <w:t xml:space="preserve">[10] E. Popko, http://www.if.pwr.wroc.pl/~popko/przyrzady polprz elektronika/W1.pdf, </w:t>
      </w:r>
      <w:r>
        <w:t>[dostęp: 14.09.2016]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1</w:t>
      </w:r>
      <w:r w:rsidRPr="00AC368E">
        <w:rPr>
          <w:lang w:val="en-US"/>
        </w:rPr>
        <w:t xml:space="preserve">] J. E. Han, V. H. Crespi, </w:t>
      </w:r>
      <w:r w:rsidRPr="009262A4">
        <w:rPr>
          <w:i/>
          <w:lang w:val="en-US"/>
        </w:rPr>
        <w:t>Discrete transverse superconducting modes in nanocylinders</w:t>
      </w:r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2</w:t>
      </w:r>
      <w:r w:rsidRPr="00AC368E">
        <w:rPr>
          <w:lang w:val="en-US"/>
        </w:rPr>
        <w:t xml:space="preserve">] N. A. Court, A. J. Ferguson, R. G. Clark, </w:t>
      </w:r>
      <w:r w:rsidRPr="009262A4">
        <w:rPr>
          <w:i/>
          <w:lang w:val="en-US"/>
        </w:rPr>
        <w:t>Energy gap measurement of nanostructured thin aluminium films for use in single Cooper-pair devices</w:t>
      </w:r>
      <w:r w:rsidRPr="00AC368E">
        <w:rPr>
          <w:lang w:val="en-US"/>
        </w:rPr>
        <w:t xml:space="preserve">, Supercond.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3</w:t>
      </w:r>
      <w:r>
        <w:rPr>
          <w:lang w:val="en-US"/>
        </w:rPr>
        <w:t xml:space="preserve">] Y. F. Zhang, J. F. Jia, T. Z. Han, Z. Tang, Q. T. Shen, Y. Guo, Z. Q. Qiu, Q. K. Xue, </w:t>
      </w:r>
      <w:r w:rsidRPr="009262A4">
        <w:rPr>
          <w:i/>
          <w:lang w:val="en-US"/>
        </w:rPr>
        <w:t>Band Structure and Oscillatory Electron-Phonon Coupling of Pb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>[1</w:t>
      </w:r>
      <w:r w:rsidR="004B3C16">
        <w:rPr>
          <w:lang w:val="en-US"/>
        </w:rPr>
        <w:t>4</w:t>
      </w:r>
      <w:r>
        <w:rPr>
          <w:lang w:val="en-US"/>
        </w:rPr>
        <w:t xml:space="preserve">] P. Wójcik, M. Zegrodnik,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>field in free-standing superconducting nanofilms</w:t>
      </w:r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5</w:t>
      </w:r>
      <w:r>
        <w:rPr>
          <w:lang w:val="en-US"/>
        </w:rPr>
        <w:t xml:space="preserve">] P. Wójcik, M. Zegrodnik, </w:t>
      </w:r>
      <w:r w:rsidRPr="009262A4">
        <w:rPr>
          <w:i/>
          <w:lang w:val="en-US"/>
        </w:rPr>
        <w:t>Influence of the electron density on the thickness-dependent energy gap oscillations in superconducting metallic nanofilms</w:t>
      </w:r>
      <w:r>
        <w:rPr>
          <w:lang w:val="en-US"/>
        </w:rPr>
        <w:t>, Physica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4B3C16">
        <w:rPr>
          <w:lang w:val="en-US"/>
        </w:rPr>
        <w:t>6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[dostęp: 1</w:t>
      </w:r>
      <w:r w:rsidR="004B3C16">
        <w:rPr>
          <w:lang w:val="en-US"/>
        </w:rPr>
        <w:t>4</w:t>
      </w:r>
      <w:r w:rsidRPr="002C4D5B">
        <w:rPr>
          <w:lang w:val="en-US"/>
        </w:rPr>
        <w:t>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7</w:t>
      </w:r>
      <w:r w:rsidRPr="00AC368E">
        <w:rPr>
          <w:lang w:val="en-US"/>
        </w:rPr>
        <w:t xml:space="preserve">] A. A. Shanenko, M. D. Croitoru, F. M.Peeters, </w:t>
      </w:r>
      <w:r w:rsidRPr="009262A4">
        <w:rPr>
          <w:i/>
          <w:lang w:val="en-US"/>
        </w:rPr>
        <w:t>Oscillations of the superconducting temperature induced by quantum well states in thin metallic films: Numerical solution of the Bogoliubov–de Gennes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r w:rsidRPr="002C4D5B">
        <w:rPr>
          <w:b/>
          <w:sz w:val="32"/>
          <w:szCs w:val="32"/>
          <w:lang w:val="en-US"/>
        </w:rPr>
        <w:lastRenderedPageBreak/>
        <w:t>Spis rysunków</w:t>
      </w:r>
    </w:p>
    <w:p w:rsidR="00321A19" w:rsidRDefault="009A6BA1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236485" w:history="1">
        <w:r w:rsidR="00321A19" w:rsidRPr="00D35AB0">
          <w:rPr>
            <w:rStyle w:val="Hipercze"/>
            <w:b/>
            <w:noProof/>
          </w:rPr>
          <w:t>Rysunek 1.</w:t>
        </w:r>
        <w:r w:rsidR="00321A19" w:rsidRPr="00D35AB0">
          <w:rPr>
            <w:rStyle w:val="Hipercze"/>
            <w:noProof/>
          </w:rPr>
          <w:t xml:space="preserve"> Schemat nanowarstwy.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_Toc462236485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10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86" w:history="1">
        <w:r w:rsidR="00321A19" w:rsidRPr="00D35AB0">
          <w:rPr>
            <w:rStyle w:val="Hipercze"/>
            <w:b/>
            <w:noProof/>
          </w:rPr>
          <w:t>Rysunek 2.</w:t>
        </w:r>
        <w:r w:rsidR="00321A19" w:rsidRPr="00D35AB0">
          <w:rPr>
            <w:rStyle w:val="Hipercze"/>
            <w:noProof/>
          </w:rPr>
          <w:t xml:space="preserve"> Funkcje falowe nieskończonej studni potencjału. Opracowanie własne na podstawie [10].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_Toc462236486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11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87" w:history="1">
        <w:r w:rsidR="00321A19" w:rsidRPr="00D35AB0">
          <w:rPr>
            <w:rStyle w:val="Hipercze"/>
            <w:b/>
            <w:noProof/>
          </w:rPr>
          <w:t>Rysunek 3.</w:t>
        </w:r>
        <w:r w:rsidR="00321A19" w:rsidRPr="00D35AB0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321A19" w:rsidRPr="00D35AB0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321A19" w:rsidRPr="00D35AB0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321A19" w:rsidRPr="00D35AB0">
          <w:rPr>
            <w:rStyle w:val="Hipercze"/>
            <w:noProof/>
          </w:rPr>
          <w:t xml:space="preserve"> dla litego materiału zaznaczono poziomą linią przerywaną. Wynik dla warstw Al.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_Toc462236487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16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88" w:history="1">
        <w:r w:rsidR="00321A19" w:rsidRPr="00D35AB0">
          <w:rPr>
            <w:rStyle w:val="Hipercze"/>
            <w:b/>
            <w:noProof/>
          </w:rPr>
          <w:t>Rysunek 4.</w:t>
        </w:r>
        <w:r w:rsidR="00321A19" w:rsidRPr="00D35AB0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321A19" w:rsidRPr="00D35AB0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321A19" w:rsidRPr="00D35AB0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_Toc462236488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17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89" w:history="1">
        <w:r w:rsidR="00321A19" w:rsidRPr="00D35AB0">
          <w:rPr>
            <w:rStyle w:val="Hipercze"/>
            <w:b/>
            <w:noProof/>
          </w:rPr>
          <w:t>Rysunek 5.</w:t>
        </w:r>
        <w:r w:rsidR="00321A19" w:rsidRPr="00D35AB0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321A19" w:rsidRPr="00D35AB0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321A19" w:rsidRPr="00D35AB0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321A19" w:rsidRPr="00D35AB0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321A19" w:rsidRPr="00D35AB0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321A19" w:rsidRPr="00D35AB0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321A19" w:rsidRPr="00D35AB0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321A19" w:rsidRPr="00D35AB0">
          <w:rPr>
            <w:rStyle w:val="Hipercze"/>
            <w:noProof/>
          </w:rPr>
          <w:t xml:space="preserve"> nm.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_Toc462236489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19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0" w:history="1">
        <w:r w:rsidR="00321A19" w:rsidRPr="00D35AB0">
          <w:rPr>
            <w:rStyle w:val="Hipercze"/>
            <w:b/>
            <w:noProof/>
          </w:rPr>
          <w:t>Rysunek 6.</w:t>
        </w:r>
        <w:r w:rsidR="00321A19" w:rsidRPr="00D35AB0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321A19" w:rsidRPr="00D35AB0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321A19" w:rsidRPr="00D35AB0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321A19" w:rsidRPr="00D35AB0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321A19" w:rsidRPr="00D35AB0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321A19" w:rsidRPr="00D35AB0">
          <w:rPr>
            <w:rStyle w:val="Hipercze"/>
            <w:noProof/>
          </w:rPr>
          <w:t xml:space="preserve"> nm.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_Toc462236490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20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1" w:history="1">
        <w:r w:rsidR="00321A19" w:rsidRPr="00D35AB0">
          <w:rPr>
            <w:rStyle w:val="Hipercze"/>
            <w:b/>
            <w:noProof/>
          </w:rPr>
          <w:t>Rysunek 7.</w:t>
        </w:r>
        <w:r w:rsidR="00321A19" w:rsidRPr="00D35AB0">
          <w:rPr>
            <w:rStyle w:val="Hipercze"/>
            <w:noProof/>
          </w:rPr>
          <w:t xml:space="preserve"> Wartość przerwy nadprzewodzącej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321A19" w:rsidRPr="00D35AB0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321A19" w:rsidRPr="00D35AB0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321A19" w:rsidRPr="00D35AB0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321A19" w:rsidRPr="00D35AB0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321A19" w:rsidRPr="00D35AB0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321A19" w:rsidRPr="00D35AB0">
          <w:rPr>
            <w:rStyle w:val="Hipercze"/>
            <w:noProof/>
          </w:rPr>
          <w:t xml:space="preserve"> nm.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_Toc462236491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20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2" w:history="1">
        <w:r w:rsidR="00321A19" w:rsidRPr="00D35AB0">
          <w:rPr>
            <w:rStyle w:val="Hipercze"/>
            <w:b/>
            <w:noProof/>
          </w:rPr>
          <w:t>Rysunek 8.</w:t>
        </w:r>
        <w:r w:rsidR="00321A19" w:rsidRPr="00D35AB0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321A19" w:rsidRPr="00D35AB0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321A19" w:rsidRPr="00D35AB0">
          <w:rPr>
            <w:rStyle w:val="Hipercze"/>
            <w:noProof/>
          </w:rPr>
          <w:t>. Przerywaną linią poziomą oznaczono wartość temperatury krytycznej dla litego Al.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_Toc462236492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21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3" w:history="1">
        <w:r w:rsidR="00321A19" w:rsidRPr="00D35AB0">
          <w:rPr>
            <w:rStyle w:val="Hipercze"/>
            <w:b/>
            <w:noProof/>
          </w:rPr>
          <w:t>Rysunek 9.</w:t>
        </w:r>
        <w:r w:rsidR="00321A19" w:rsidRPr="00D35AB0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321A19" w:rsidRPr="00D35AB0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321A19" w:rsidRPr="00D35AB0">
          <w:rPr>
            <w:rStyle w:val="Hipercze"/>
            <w:noProof/>
          </w:rPr>
          <w:t xml:space="preserve"> dla metali: (a) Al, (b) Cd, (c) Sn oraz (d) Pb.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_Toc462236493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22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4" w:history="1">
        <w:r w:rsidR="00321A19" w:rsidRPr="00D35AB0">
          <w:rPr>
            <w:rStyle w:val="Hipercze"/>
            <w:b/>
            <w:noProof/>
          </w:rPr>
          <w:t>Rysunek 10.</w:t>
        </w:r>
        <w:r w:rsidR="00321A19" w:rsidRPr="00D35AB0">
          <w:rPr>
            <w:rStyle w:val="Hipercze"/>
            <w:noProof/>
          </w:rPr>
          <w:t xml:space="preserve"> Wykres przerwy nadprzewodzącej</w:t>
        </w:r>
        <w:r w:rsidR="00321A19" w:rsidRPr="00D35AB0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321A19" w:rsidRPr="00D35AB0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321A19" w:rsidRPr="00D35AB0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321A19" w:rsidRPr="00D35AB0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321A19" w:rsidRPr="00D35AB0">
          <w:rPr>
            <w:rStyle w:val="Hipercze"/>
            <w:noProof/>
          </w:rPr>
          <w:t>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_Toc462236494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23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5" w:history="1">
        <w:r w:rsidR="00321A19" w:rsidRPr="00D35AB0">
          <w:rPr>
            <w:rStyle w:val="Hipercze"/>
            <w:b/>
            <w:noProof/>
          </w:rPr>
          <w:t>Rysunek 11.</w:t>
        </w:r>
        <w:r w:rsidR="00321A19" w:rsidRPr="00D35AB0">
          <w:rPr>
            <w:rStyle w:val="Hipercze"/>
            <w:noProof/>
          </w:rPr>
          <w:t xml:space="preserve"> Wykres przerwy nadprzewodzącej</w:t>
        </w:r>
        <w:r w:rsidR="00321A19" w:rsidRPr="00D35AB0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321A19" w:rsidRPr="00D35AB0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321A19" w:rsidRPr="00D35AB0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321A19" w:rsidRPr="00D35AB0">
          <w:rPr>
            <w:rStyle w:val="Hipercze"/>
            <w:iCs/>
            <w:noProof/>
          </w:rPr>
          <w:t>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_Toc462236495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24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6" w:history="1">
        <w:r w:rsidR="00321A19" w:rsidRPr="00D35AB0">
          <w:rPr>
            <w:rStyle w:val="Hipercze"/>
            <w:b/>
            <w:noProof/>
          </w:rPr>
          <w:t>Rysunek 12.</w:t>
        </w:r>
        <w:r w:rsidR="00321A19" w:rsidRPr="00D35AB0">
          <w:rPr>
            <w:rStyle w:val="Hipercze"/>
            <w:noProof/>
          </w:rPr>
          <w:t xml:space="preserve"> Wykres przerwy nadprzewodzącej</w:t>
        </w:r>
        <w:r w:rsidR="00321A19" w:rsidRPr="00D35AB0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321A19" w:rsidRPr="00D35AB0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_Toc462236496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25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7" w:history="1">
        <w:r w:rsidR="00321A19" w:rsidRPr="00D35AB0">
          <w:rPr>
            <w:rStyle w:val="Hipercze"/>
            <w:b/>
            <w:noProof/>
          </w:rPr>
          <w:t>Rysunek 13.</w:t>
        </w:r>
        <w:r w:rsidR="00321A19" w:rsidRPr="00D35AB0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321A19" w:rsidRPr="00D35AB0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_Toc462236497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26</w:t>
        </w:r>
        <w:r w:rsidR="00321A19">
          <w:rPr>
            <w:noProof/>
            <w:webHidden/>
          </w:rPr>
          <w:fldChar w:fldCharType="end"/>
        </w:r>
      </w:hyperlink>
    </w:p>
    <w:p w:rsidR="00321A19" w:rsidRDefault="00694920" w:rsidP="00321A19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236498" w:history="1">
        <w:r w:rsidR="00321A19" w:rsidRPr="00D35AB0">
          <w:rPr>
            <w:rStyle w:val="Hipercze"/>
            <w:b/>
            <w:noProof/>
          </w:rPr>
          <w:t>Rysunek 14.</w:t>
        </w:r>
        <w:r w:rsidR="00321A19" w:rsidRPr="00D35AB0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321A19">
          <w:rPr>
            <w:noProof/>
            <w:webHidden/>
          </w:rPr>
          <w:tab/>
        </w:r>
        <w:r w:rsidR="00321A19">
          <w:rPr>
            <w:noProof/>
            <w:webHidden/>
          </w:rPr>
          <w:fldChar w:fldCharType="begin"/>
        </w:r>
        <w:r w:rsidR="00321A19">
          <w:rPr>
            <w:noProof/>
            <w:webHidden/>
          </w:rPr>
          <w:instrText xml:space="preserve"> PAGEREF _Toc462236498 \h </w:instrText>
        </w:r>
        <w:r w:rsidR="00321A19">
          <w:rPr>
            <w:noProof/>
            <w:webHidden/>
          </w:rPr>
        </w:r>
        <w:r w:rsidR="00321A19">
          <w:rPr>
            <w:noProof/>
            <w:webHidden/>
          </w:rPr>
          <w:fldChar w:fldCharType="separate"/>
        </w:r>
        <w:r w:rsidR="00884C68">
          <w:rPr>
            <w:noProof/>
            <w:webHidden/>
          </w:rPr>
          <w:t>27</w:t>
        </w:r>
        <w:r w:rsidR="00321A19">
          <w:rPr>
            <w:noProof/>
            <w:webHidden/>
          </w:rPr>
          <w:fldChar w:fldCharType="end"/>
        </w:r>
      </w:hyperlink>
    </w:p>
    <w:p w:rsidR="009A6BA1" w:rsidRPr="00C02718" w:rsidRDefault="009A6BA1" w:rsidP="002D2AD5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20" w:rsidRDefault="00694920" w:rsidP="00C02718">
      <w:pPr>
        <w:spacing w:after="0" w:line="240" w:lineRule="auto"/>
      </w:pPr>
      <w:r>
        <w:separator/>
      </w:r>
    </w:p>
  </w:endnote>
  <w:endnote w:type="continuationSeparator" w:id="0">
    <w:p w:rsidR="00694920" w:rsidRDefault="00694920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203093"/>
      <w:docPartObj>
        <w:docPartGallery w:val="Page Numbers (Bottom of Page)"/>
        <w:docPartUnique/>
      </w:docPartObj>
    </w:sdtPr>
    <w:sdtEndPr/>
    <w:sdtContent>
      <w:p w:rsidR="00FA48FF" w:rsidRDefault="00FA48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C68">
          <w:rPr>
            <w:noProof/>
          </w:rPr>
          <w:t>30</w:t>
        </w:r>
        <w:r>
          <w:fldChar w:fldCharType="end"/>
        </w:r>
      </w:p>
    </w:sdtContent>
  </w:sdt>
  <w:p w:rsidR="00FA48FF" w:rsidRDefault="00FA48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FF" w:rsidRDefault="00FA48FF">
    <w:pPr>
      <w:pStyle w:val="Stopka"/>
      <w:jc w:val="center"/>
    </w:pPr>
  </w:p>
  <w:p w:rsidR="00FA48FF" w:rsidRDefault="00FA48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20" w:rsidRDefault="00694920" w:rsidP="00C02718">
      <w:pPr>
        <w:spacing w:after="0" w:line="240" w:lineRule="auto"/>
      </w:pPr>
      <w:r>
        <w:separator/>
      </w:r>
    </w:p>
  </w:footnote>
  <w:footnote w:type="continuationSeparator" w:id="0">
    <w:p w:rsidR="00694920" w:rsidRDefault="00694920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44961"/>
    <w:rsid w:val="00050D78"/>
    <w:rsid w:val="00057D3A"/>
    <w:rsid w:val="0007205B"/>
    <w:rsid w:val="00080683"/>
    <w:rsid w:val="00083F2C"/>
    <w:rsid w:val="00085C25"/>
    <w:rsid w:val="000A593B"/>
    <w:rsid w:val="000B256F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0A77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813"/>
    <w:rsid w:val="00211A8C"/>
    <w:rsid w:val="002139F7"/>
    <w:rsid w:val="00221A94"/>
    <w:rsid w:val="002223FF"/>
    <w:rsid w:val="002260FF"/>
    <w:rsid w:val="002345FC"/>
    <w:rsid w:val="00235DF6"/>
    <w:rsid w:val="002453BC"/>
    <w:rsid w:val="00256DCC"/>
    <w:rsid w:val="00261647"/>
    <w:rsid w:val="00263FC0"/>
    <w:rsid w:val="00265E4B"/>
    <w:rsid w:val="00267381"/>
    <w:rsid w:val="00282AEE"/>
    <w:rsid w:val="002B4593"/>
    <w:rsid w:val="002B4672"/>
    <w:rsid w:val="002B50DB"/>
    <w:rsid w:val="002C15AC"/>
    <w:rsid w:val="002C2B3C"/>
    <w:rsid w:val="002C4D5B"/>
    <w:rsid w:val="002D2AD5"/>
    <w:rsid w:val="002D6249"/>
    <w:rsid w:val="002E30A9"/>
    <w:rsid w:val="002E7EBE"/>
    <w:rsid w:val="002F0B8A"/>
    <w:rsid w:val="002F340D"/>
    <w:rsid w:val="002F35AC"/>
    <w:rsid w:val="002F5AB2"/>
    <w:rsid w:val="003047E9"/>
    <w:rsid w:val="0031138E"/>
    <w:rsid w:val="00321A19"/>
    <w:rsid w:val="00324073"/>
    <w:rsid w:val="003264D7"/>
    <w:rsid w:val="0032745A"/>
    <w:rsid w:val="00331A2F"/>
    <w:rsid w:val="003323FF"/>
    <w:rsid w:val="00334144"/>
    <w:rsid w:val="00334FD0"/>
    <w:rsid w:val="003367A7"/>
    <w:rsid w:val="00343044"/>
    <w:rsid w:val="00347A39"/>
    <w:rsid w:val="0036693A"/>
    <w:rsid w:val="003743DB"/>
    <w:rsid w:val="003773A4"/>
    <w:rsid w:val="00381472"/>
    <w:rsid w:val="00381B79"/>
    <w:rsid w:val="0038633D"/>
    <w:rsid w:val="00386B5B"/>
    <w:rsid w:val="00394FE2"/>
    <w:rsid w:val="003A23F4"/>
    <w:rsid w:val="003A588B"/>
    <w:rsid w:val="003B39E9"/>
    <w:rsid w:val="003B45BA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90CE0"/>
    <w:rsid w:val="004A0D50"/>
    <w:rsid w:val="004A626A"/>
    <w:rsid w:val="004B09E6"/>
    <w:rsid w:val="004B0D36"/>
    <w:rsid w:val="004B32BC"/>
    <w:rsid w:val="004B3C16"/>
    <w:rsid w:val="004C735B"/>
    <w:rsid w:val="004D10E0"/>
    <w:rsid w:val="004D4720"/>
    <w:rsid w:val="004D6517"/>
    <w:rsid w:val="004E125A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A163B"/>
    <w:rsid w:val="005B13B6"/>
    <w:rsid w:val="005B2CCA"/>
    <w:rsid w:val="005C38A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4920"/>
    <w:rsid w:val="00696BCB"/>
    <w:rsid w:val="00697F05"/>
    <w:rsid w:val="00697F2B"/>
    <w:rsid w:val="006A125A"/>
    <w:rsid w:val="006A32EA"/>
    <w:rsid w:val="006A4437"/>
    <w:rsid w:val="006A668C"/>
    <w:rsid w:val="006A78BB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84C68"/>
    <w:rsid w:val="0089527D"/>
    <w:rsid w:val="00895B79"/>
    <w:rsid w:val="00896881"/>
    <w:rsid w:val="00897D06"/>
    <w:rsid w:val="008A4444"/>
    <w:rsid w:val="008A79A1"/>
    <w:rsid w:val="008B34C4"/>
    <w:rsid w:val="008B3EAF"/>
    <w:rsid w:val="008B4534"/>
    <w:rsid w:val="008B5BB0"/>
    <w:rsid w:val="008C6BF3"/>
    <w:rsid w:val="008D0DC0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4951"/>
    <w:rsid w:val="0092563B"/>
    <w:rsid w:val="009262A4"/>
    <w:rsid w:val="00937694"/>
    <w:rsid w:val="0096649D"/>
    <w:rsid w:val="00976566"/>
    <w:rsid w:val="0098221C"/>
    <w:rsid w:val="009A389C"/>
    <w:rsid w:val="009A6BA1"/>
    <w:rsid w:val="009C0EE3"/>
    <w:rsid w:val="009C20D1"/>
    <w:rsid w:val="009C27D9"/>
    <w:rsid w:val="009C284E"/>
    <w:rsid w:val="009C4E6B"/>
    <w:rsid w:val="009D21C8"/>
    <w:rsid w:val="009E310E"/>
    <w:rsid w:val="009E567D"/>
    <w:rsid w:val="009F1F75"/>
    <w:rsid w:val="009F3097"/>
    <w:rsid w:val="00A007DB"/>
    <w:rsid w:val="00A02B2D"/>
    <w:rsid w:val="00A044CC"/>
    <w:rsid w:val="00A06109"/>
    <w:rsid w:val="00A10C98"/>
    <w:rsid w:val="00A205C3"/>
    <w:rsid w:val="00A2085E"/>
    <w:rsid w:val="00A25CEE"/>
    <w:rsid w:val="00A262B1"/>
    <w:rsid w:val="00A3354F"/>
    <w:rsid w:val="00A33691"/>
    <w:rsid w:val="00A36B0E"/>
    <w:rsid w:val="00A44CB0"/>
    <w:rsid w:val="00A46196"/>
    <w:rsid w:val="00A64FFF"/>
    <w:rsid w:val="00A67F96"/>
    <w:rsid w:val="00A73F4F"/>
    <w:rsid w:val="00A8355D"/>
    <w:rsid w:val="00A86B48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AE0107"/>
    <w:rsid w:val="00AF2E6B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3A8F"/>
    <w:rsid w:val="00BC7DF9"/>
    <w:rsid w:val="00BD641F"/>
    <w:rsid w:val="00BE4959"/>
    <w:rsid w:val="00C02718"/>
    <w:rsid w:val="00C1292D"/>
    <w:rsid w:val="00C20C34"/>
    <w:rsid w:val="00C229F3"/>
    <w:rsid w:val="00C3178A"/>
    <w:rsid w:val="00C33480"/>
    <w:rsid w:val="00C408CB"/>
    <w:rsid w:val="00C44545"/>
    <w:rsid w:val="00C548A4"/>
    <w:rsid w:val="00C559A1"/>
    <w:rsid w:val="00C57622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C6004"/>
    <w:rsid w:val="00CD1D61"/>
    <w:rsid w:val="00CE3CD8"/>
    <w:rsid w:val="00CE7550"/>
    <w:rsid w:val="00CF1EB1"/>
    <w:rsid w:val="00D00BE2"/>
    <w:rsid w:val="00D012DE"/>
    <w:rsid w:val="00D22DE6"/>
    <w:rsid w:val="00D2329F"/>
    <w:rsid w:val="00D4374B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A7C8B"/>
    <w:rsid w:val="00DB4966"/>
    <w:rsid w:val="00DB6AD2"/>
    <w:rsid w:val="00DB6F55"/>
    <w:rsid w:val="00DB73C6"/>
    <w:rsid w:val="00DB7B6B"/>
    <w:rsid w:val="00DB7D98"/>
    <w:rsid w:val="00DE2BB8"/>
    <w:rsid w:val="00DF1F46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56C58"/>
    <w:rsid w:val="00E66712"/>
    <w:rsid w:val="00E73386"/>
    <w:rsid w:val="00E860E4"/>
    <w:rsid w:val="00EA4D1C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1389"/>
    <w:rsid w:val="00F12DE0"/>
    <w:rsid w:val="00F13B9F"/>
    <w:rsid w:val="00F15783"/>
    <w:rsid w:val="00F175C5"/>
    <w:rsid w:val="00F35AD1"/>
    <w:rsid w:val="00F43126"/>
    <w:rsid w:val="00F44EE5"/>
    <w:rsid w:val="00F51B4E"/>
    <w:rsid w:val="00F51F62"/>
    <w:rsid w:val="00F63FB9"/>
    <w:rsid w:val="00F64E7C"/>
    <w:rsid w:val="00F863F4"/>
    <w:rsid w:val="00FA48FF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13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14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11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12</b:RefOrder>
  </b:Source>
  <b:Source>
    <b:Tag>EPo10</b:Tag>
    <b:SourceType>DocumentFromInternetSite</b:SourceType>
    <b:Guid>{3E647962-F2B4-4B3A-98EC-0F74C70F0654}</b:Guid>
    <b:Author>
      <b:Author>
        <b:NameList>
          <b:Person>
            <b:Last>Popko</b:Last>
            <b:First>E.</b:First>
          </b:Person>
        </b:NameList>
      </b:Author>
    </b:Author>
    <b:YearAccessed>10</b:YearAccessed>
    <b:MonthAccessed>09</b:MonthAccessed>
    <b:DayAccessed>2016</b:DayAccessed>
    <b:URL>http://www.if.pwr.wroc.pl/~popko/przyrzady%20polprz%20elektronika/W1.pdf</b:URL>
    <b:RefOrder>10</b:RefOrder>
  </b:Source>
</b:Sources>
</file>

<file path=customXml/itemProps1.xml><?xml version="1.0" encoding="utf-8"?>
<ds:datastoreItem xmlns:ds="http://schemas.openxmlformats.org/officeDocument/2006/customXml" ds:itemID="{074B4963-8349-44AC-B378-D2B5E9B5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6117</Words>
  <Characters>36706</Characters>
  <Application>Microsoft Office Word</Application>
  <DocSecurity>0</DocSecurity>
  <Lines>305</Lines>
  <Paragraphs>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Comarch Sa</cp:lastModifiedBy>
  <cp:revision>24</cp:revision>
  <cp:lastPrinted>2016-09-21T14:11:00Z</cp:lastPrinted>
  <dcterms:created xsi:type="dcterms:W3CDTF">2016-09-20T23:15:00Z</dcterms:created>
  <dcterms:modified xsi:type="dcterms:W3CDTF">2016-09-21T14:12:00Z</dcterms:modified>
</cp:coreProperties>
</file>