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34"/>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Figura 1 - 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Figura 2 - 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rPr>
      </w:pPr>
      <w:r>
        <w:rPr>
          <w:color w:val="000000"/>
        </w:rPr>
        <w:t>IA                    Inteligência Artificial</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S2S                </w:t>
      </w:r>
      <w:r>
        <w:rPr>
          <w:i/>
          <w:color w:val="000000"/>
          <w:lang w:val="en-US"/>
        </w:rPr>
        <w:t>Sequence to sequence</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CBoW            </w:t>
      </w:r>
      <w:r>
        <w:rPr>
          <w:i/>
          <w:color w:val="000000"/>
          <w:lang w:val="en-US"/>
        </w:rPr>
        <w:t>Continous Bag of Word</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Json               </w:t>
      </w:r>
      <w:r>
        <w:rPr>
          <w:i/>
          <w:color w:val="000000"/>
          <w:lang w:val="en-US"/>
        </w:rPr>
        <w:t>JavaScript Object Notation</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r>
        <w:rPr>
          <w:color w:val="000000"/>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rPr>
              <w:rFonts w:hint="default"/>
              <w:lang w:val="pt-BR"/>
            </w:rPr>
            <w:t>REFERÊNCIAS.......................................................................................21</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Keshar, McCAnn, Xiong, &amp; Socher,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é nota máxima no Enade</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conseguiu obter nota 5 no Enade</w:t>
      </w:r>
    </w:p>
    <w:p>
      <w:pPr>
        <w:pBdr>
          <w:top w:val="none" w:color="auto" w:sz="0" w:space="0"/>
          <w:left w:val="none" w:color="auto" w:sz="0" w:space="0"/>
          <w:bottom w:val="none" w:color="auto" w:sz="0" w:space="0"/>
          <w:right w:val="none" w:color="auto" w:sz="0" w:space="0"/>
          <w:between w:val="none" w:color="auto" w:sz="0" w:space="0"/>
        </w:pBd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 xml:space="preserve">Conforme estudo de </w:t>
      </w:r>
      <w:bookmarkStart w:id="18" w:name="_GoBack"/>
      <w:r>
        <w:t>Chen et al.</w:t>
      </w:r>
      <w:bookmarkEnd w:id="18"/>
      <w:r>
        <w:t xml:space="preserve">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Pr>
        <w:pStyle w:val="18"/>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ind w:firstLine="0"/>
        <w:jc w:val="center"/>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35"/>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w:t>
      </w:r>
      <w:r>
        <w:rPr>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3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keepNext/>
        <w:keepLines/>
        <w:ind w:firstLine="0"/>
      </w:pPr>
    </w:p>
    <w:p>
      <w:pPr>
        <w:pStyle w:val="3"/>
      </w:pPr>
      <w:bookmarkStart w:id="14" w:name="_Toc41145492"/>
      <w:r>
        <w:t>Sequence to Sequence</w:t>
      </w:r>
      <w:bookmarkEnd w:id="14"/>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pBdr>
          <w:top w:val="none" w:color="auto" w:sz="0" w:space="0"/>
          <w:left w:val="none" w:color="auto" w:sz="0" w:space="0"/>
          <w:bottom w:val="none" w:color="auto" w:sz="0" w:space="0"/>
          <w:right w:val="none" w:color="auto" w:sz="0" w:space="0"/>
          <w:between w:val="none" w:color="auto" w:sz="0" w:space="0"/>
        </w:pBdr>
        <w:spacing w:after="200" w:line="276" w:lineRule="auto"/>
        <w:ind w:firstLine="0"/>
        <w:jc w:val="left"/>
        <w:rPr>
          <w:b/>
          <w:color w:val="000000"/>
          <w:sz w:val="28"/>
          <w:szCs w:val="28"/>
        </w:rPr>
        <w:sectPr>
          <w:headerReference r:id="rId29" w:type="default"/>
          <w:footerReference r:id="rId30" w:type="default"/>
          <w:pgSz w:w="11906" w:h="16838"/>
          <w:pgMar w:top="1417" w:right="1701" w:bottom="1417" w:left="1701" w:header="708" w:footer="708" w:gutter="0"/>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1"/>
        <w:ind w:left="720" w:hanging="720"/>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pStyle w:val="41"/>
        <w:ind w:left="720" w:hanging="720"/>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pStyle w:val="41"/>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41"/>
        <w:ind w:left="720" w:hanging="720"/>
        <w:rPr>
          <w:lang w:val="en-US"/>
        </w:rPr>
      </w:pPr>
      <w:r>
        <w:rPr>
          <w:lang w:val="en-US"/>
        </w:rPr>
        <w:t>Chen, K., Corrado, G., Dean, J., Tomas, M., &amp; Sutskever, I. (s.d.). Distribuited representations of words and phrases and their compositionality., (p. 9).</w:t>
      </w:r>
    </w:p>
    <w:p>
      <w:pPr>
        <w:pStyle w:val="41"/>
        <w:ind w:left="720" w:hanging="720"/>
      </w:pPr>
      <w:r>
        <w:t xml:space="preserve">Ferneda, E. (2006). </w:t>
      </w:r>
      <w:r>
        <w:rPr>
          <w:i/>
          <w:iCs/>
        </w:rPr>
        <w:t>Redes neurais e sua aplicação em sistemas de recuperação de.</w:t>
      </w:r>
      <w:r>
        <w:t xml:space="preserve"> Ribeirão Preto.</w:t>
      </w:r>
    </w:p>
    <w:p>
      <w:pPr>
        <w:pStyle w:val="41"/>
        <w:ind w:left="720" w:hanging="720"/>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pStyle w:val="41"/>
        <w:ind w:left="720" w:hanging="720"/>
        <w:rPr>
          <w:lang w:val="en-US"/>
        </w:rPr>
      </w:pPr>
      <w:r>
        <w:rPr>
          <w:lang w:val="en-US"/>
        </w:rPr>
        <w:t>Kryscinski, W., Keshar, N. S., McCAnn, B., Xiong, C., &amp; Socher, R. (2019). Neural text summarization: A critical evaluation., (p. 13).</w:t>
      </w:r>
    </w:p>
    <w:p>
      <w:pPr>
        <w:pStyle w:val="41"/>
        <w:ind w:left="720" w:hanging="720"/>
        <w:rPr>
          <w:lang w:val="en-US"/>
        </w:rPr>
      </w:pPr>
      <w:r>
        <w:rPr>
          <w:lang w:val="en-US"/>
        </w:rPr>
        <w:t>Luo, Q., Xu, W., &amp; Guo, J. (2014). A study on the CBOW model's overfitting and stability., (p. 4). Shangai.</w:t>
      </w:r>
    </w:p>
    <w:p>
      <w:pPr>
        <w:pStyle w:val="41"/>
        <w:ind w:left="720" w:hanging="720"/>
      </w:pPr>
      <w:r>
        <w:rPr>
          <w:lang w:val="en-US"/>
        </w:rPr>
        <w:t xml:space="preserve">Paulus, R., Xiong, C., &amp; Socher, R. (2017). A deep reinforced model for abstractive summarization., (p. 12). </w:t>
      </w:r>
      <w:r>
        <w:t>Palo Alto.</w:t>
      </w:r>
    </w:p>
    <w:p>
      <w:pPr>
        <w:pStyle w:val="41"/>
        <w:ind w:left="720" w:hanging="720"/>
      </w:pPr>
      <w:r>
        <w:t>Rino, L., &amp; Pardo, T. (2003). A sumarização automática de textos principais características.</w:t>
      </w:r>
    </w:p>
    <w:p>
      <w:pPr>
        <w:spacing w:line="240" w:lineRule="auto"/>
        <w:ind w:firstLine="0"/>
      </w:pPr>
      <w:r>
        <w:rPr>
          <w:color w:val="00000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p>
    <w:p>
      <w:pPr>
        <w:ind w:firstLine="0"/>
      </w:pPr>
    </w:p>
    <w:sectPr>
      <w:headerReference r:id="rId31" w:type="even"/>
      <w:footerReference r:id="rId32" w:type="even"/>
      <w:pgSz w:w="11906" w:h="16838"/>
      <w:pgMar w:top="1417" w:right="1701" w:bottom="1417" w:left="1701" w:header="708" w:footer="708" w:gutter="0"/>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Georgia">
    <w:panose1 w:val="02040502050405020303"/>
    <w:charset w:val="00"/>
    <w:family w:val="roman"/>
    <w:pitch w:val="default"/>
    <w:sig w:usb0="00000287" w:usb1="00000000" w:usb2="00000000" w:usb3="00000000" w:csb0="2000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cumentProtection w:enforcement="0"/>
  <w:defaultTabStop w:val="720"/>
  <w:hyphenationZone w:val="425"/>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83153"/>
    <w:rsid w:val="003934FC"/>
    <w:rsid w:val="00431ED0"/>
    <w:rsid w:val="00460B9E"/>
    <w:rsid w:val="004A1BA4"/>
    <w:rsid w:val="0057571A"/>
    <w:rsid w:val="00750C64"/>
    <w:rsid w:val="008434EF"/>
    <w:rsid w:val="00AB7846"/>
    <w:rsid w:val="00BD6596"/>
    <w:rsid w:val="00C55D47"/>
    <w:rsid w:val="00C66845"/>
    <w:rsid w:val="00CA3AFE"/>
    <w:rsid w:val="00D058EE"/>
    <w:rsid w:val="00D54FC7"/>
    <w:rsid w:val="00E32C58"/>
    <w:rsid w:val="00FC286A"/>
    <w:rsid w:val="275348F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2"/>
    <w:basedOn w:val="1"/>
    <w:next w:val="1"/>
    <w:unhideWhenUsed/>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uiPriority w:val="39"/>
    <w:pPr>
      <w:spacing w:after="100"/>
      <w:ind w:left="720"/>
    </w:pPr>
  </w:style>
  <w:style w:type="paragraph" w:styleId="16">
    <w:name w:val="header"/>
    <w:basedOn w:val="1"/>
    <w:link w:val="43"/>
    <w:unhideWhenUsed/>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uiPriority w:val="39"/>
    <w:pPr>
      <w:tabs>
        <w:tab w:val="left" w:pos="1943"/>
        <w:tab w:val="right" w:leader="dot" w:pos="8494"/>
      </w:tabs>
      <w:spacing w:after="100"/>
    </w:pPr>
  </w:style>
  <w:style w:type="paragraph" w:styleId="20">
    <w:name w:val="Balloon Text"/>
    <w:basedOn w:val="1"/>
    <w:link w:val="59"/>
    <w:semiHidden/>
    <w:unhideWhenUsed/>
    <w:uiPriority w:val="99"/>
    <w:pPr>
      <w:spacing w:line="240" w:lineRule="auto"/>
    </w:pPr>
    <w:rPr>
      <w:rFonts w:ascii="Segoe UI" w:hAnsi="Segoe UI" w:cs="Segoe UI"/>
      <w:sz w:val="18"/>
      <w:szCs w:val="18"/>
    </w:rPr>
  </w:style>
  <w:style w:type="paragraph" w:styleId="2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uiPriority w:val="39"/>
    <w:pPr>
      <w:tabs>
        <w:tab w:val="left" w:pos="1100"/>
        <w:tab w:val="right" w:leader="dot" w:pos="8494"/>
      </w:tabs>
      <w:jc w:val="left"/>
    </w:pPr>
  </w:style>
  <w:style w:type="character" w:styleId="25">
    <w:name w:val="footnote reference"/>
    <w:basedOn w:val="24"/>
    <w:semiHidden/>
    <w:unhideWhenUsed/>
    <w:uiPriority w:val="99"/>
    <w:rPr>
      <w:vertAlign w:val="superscript"/>
    </w:rPr>
  </w:style>
  <w:style w:type="character" w:styleId="26">
    <w:name w:val="Hyperlink"/>
    <w:basedOn w:val="24"/>
    <w:unhideWhenUsed/>
    <w:uiPriority w:val="99"/>
    <w:rPr>
      <w:color w:val="0563C1" w:themeColor="hyperlink"/>
      <w:u w:val="single"/>
      <w14:textFill>
        <w14:solidFill>
          <w14:schemeClr w14:val="hlink"/>
        </w14:solidFill>
      </w14:textFill>
    </w:rPr>
  </w:style>
  <w:style w:type="table" w:styleId="28">
    <w:name w:val="Table Grid"/>
    <w:basedOn w:val="27"/>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TOC Heading"/>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phy"/>
    <w:basedOn w:val="1"/>
    <w:next w:val="1"/>
    <w:unhideWhenUsed/>
    <w:uiPriority w:val="37"/>
  </w:style>
  <w:style w:type="table" w:customStyle="1" w:styleId="42">
    <w:name w:val="Tabela com grade1"/>
    <w:basedOn w:val="27"/>
    <w:uiPriority w:val="59"/>
    <w:pPr>
      <w:spacing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spacing w:line="240" w:lineRule="auto"/>
      <w:ind w:firstLine="709"/>
      <w:jc w:val="both"/>
    </w:pPr>
    <w:rPr>
      <w:rFonts w:ascii="Arial" w:hAnsi="Arial" w:eastAsia="MS Mincho" w:cs="Arial"/>
      <w:sz w:val="24"/>
      <w:szCs w:val="24"/>
      <w:lang w:val="pt-BR" w:eastAsia="pt-BR" w:bidi="ar-SA"/>
    </w:rPr>
  </w:style>
  <w:style w:type="paragraph" w:styleId="45">
    <w:name w:val="No Spacing"/>
    <w:qFormat/>
    <w:uiPriority w:val="1"/>
    <w:pPr>
      <w:spacing w:line="240" w:lineRule="auto"/>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uiPriority w:val="0"/>
    <w:pPr>
      <w:spacing w:after="200" w:line="276" w:lineRule="auto"/>
      <w:ind w:firstLine="0"/>
      <w:jc w:val="left"/>
    </w:pPr>
    <w:rPr>
      <w:rFonts w:eastAsia="Calibri" w:cs="Times New Roman"/>
      <w:b/>
      <w:sz w:val="28"/>
    </w:rPr>
  </w:style>
  <w:style w:type="character" w:customStyle="1" w:styleId="50">
    <w:name w:val="Subtle Reference"/>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3">
    <w:name w:val="_Style 5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4">
    <w:name w:val="_Style 55"/>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5">
    <w:name w:val="_Style 56"/>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6">
    <w:name w:val="_Style 57"/>
    <w:basedOn w:val="29"/>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1">
    <w:name w:val="_Style 63"/>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2">
    <w:name w:val="_Style 6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3">
    <w:name w:val="_Style 65"/>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4">
    <w:name w:val="_Style 66"/>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5">
    <w:name w:val="_Style 67"/>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6">
    <w:name w:val="_Style 68"/>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7">
    <w:name w:val="_Style 69"/>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8">
    <w:name w:val="_Style 70"/>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9">
    <w:name w:val="_Style 71"/>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0">
    <w:name w:val="_Style 7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1">
    <w:name w:val="_Style 73"/>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4">
    <w:name w:val="_Style 78"/>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5">
    <w:name w:val="_Style 79"/>
    <w:basedOn w:val="29"/>
    <w:uiPriority w:val="0"/>
    <w:pPr>
      <w:spacing w:line="240" w:lineRule="auto"/>
    </w:pPr>
    <w:rPr>
      <w:rFonts w:ascii="Calibri" w:hAnsi="Calibri" w:eastAsia="Calibri" w:cs="Calibri"/>
      <w:sz w:val="20"/>
      <w:szCs w:val="20"/>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1" Type="http://schemas.openxmlformats.org/officeDocument/2006/relationships/fontTable" Target="fontTable.xml"/><Relationship Id="rId40" Type="http://schemas.openxmlformats.org/officeDocument/2006/relationships/customXml" Target="../customXml/item3.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image" Target="media/image1.png"/><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20</Pages>
  <Words>2356</Words>
  <Characters>12726</Characters>
  <Lines>106</Lines>
  <Paragraphs>30</Paragraphs>
  <TotalTime>108</TotalTime>
  <ScaleCrop>false</ScaleCrop>
  <LinksUpToDate>false</LinksUpToDate>
  <CharactersWithSpaces>15052</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2020-06-01T14:31:27Z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1046-11.2.0.9363</vt:lpwstr>
  </property>
</Properties>
</file>